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center"/>
        <w:rPr>
          <w:sz w:val="56"/>
          <w:szCs w:val="56"/>
        </w:rPr>
      </w:pPr>
    </w:p>
    <w:p>
      <w:pPr>
        <w:pStyle w:val="14"/>
        <w:jc w:val="center"/>
        <w:rPr>
          <w:sz w:val="56"/>
          <w:szCs w:val="56"/>
        </w:rPr>
      </w:pPr>
    </w:p>
    <w:p>
      <w:pPr>
        <w:pStyle w:val="14"/>
        <w:jc w:val="center"/>
        <w:rPr>
          <w:sz w:val="84"/>
          <w:szCs w:val="84"/>
        </w:rPr>
      </w:pPr>
    </w:p>
    <w:p>
      <w:pPr>
        <w:pStyle w:val="14"/>
        <w:jc w:val="center"/>
        <w:rPr>
          <w:sz w:val="84"/>
          <w:szCs w:val="84"/>
        </w:rPr>
      </w:pPr>
    </w:p>
    <w:p>
      <w:pPr>
        <w:pStyle w:val="14"/>
        <w:jc w:val="center"/>
        <w:rPr>
          <w:sz w:val="84"/>
          <w:szCs w:val="84"/>
        </w:rPr>
      </w:pPr>
      <w:r>
        <w:rPr>
          <w:rFonts w:hint="eastAsia"/>
          <w:sz w:val="84"/>
          <w:szCs w:val="84"/>
        </w:rPr>
        <w:t>2020年度</w:t>
      </w:r>
    </w:p>
    <w:p>
      <w:pPr>
        <w:pStyle w:val="14"/>
        <w:jc w:val="center"/>
        <w:rPr>
          <w:sz w:val="84"/>
          <w:szCs w:val="84"/>
        </w:rPr>
      </w:pPr>
      <w:r>
        <w:rPr>
          <w:rFonts w:hint="eastAsia"/>
          <w:sz w:val="84"/>
          <w:szCs w:val="84"/>
          <w:lang w:eastAsia="zh-CN"/>
        </w:rPr>
        <w:t>洪江市人民政府办公室</w:t>
      </w:r>
      <w:r>
        <w:rPr>
          <w:rFonts w:hint="eastAsia"/>
          <w:sz w:val="84"/>
          <w:szCs w:val="84"/>
        </w:rPr>
        <w:t>部门决算</w:t>
      </w:r>
    </w:p>
    <w:p>
      <w:pPr>
        <w:pStyle w:val="14"/>
        <w:jc w:val="center"/>
        <w:rPr>
          <w:sz w:val="56"/>
          <w:szCs w:val="56"/>
        </w:rPr>
      </w:pPr>
    </w:p>
    <w:p>
      <w:pPr>
        <w:pStyle w:val="14"/>
        <w:jc w:val="center"/>
        <w:rPr>
          <w:sz w:val="56"/>
          <w:szCs w:val="56"/>
        </w:rPr>
      </w:pPr>
    </w:p>
    <w:p>
      <w:pPr>
        <w:pStyle w:val="14"/>
        <w:jc w:val="center"/>
        <w:rPr>
          <w:sz w:val="56"/>
          <w:szCs w:val="56"/>
        </w:rPr>
      </w:pPr>
    </w:p>
    <w:p>
      <w:pPr>
        <w:pStyle w:val="14"/>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spacing w:line="500" w:lineRule="exact"/>
        <w:jc w:val="center"/>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pPr>
        <w:pStyle w:val="14"/>
        <w:spacing w:line="500" w:lineRule="exact"/>
        <w:rPr>
          <w:rFonts w:hint="eastAsia"/>
          <w:b/>
          <w:sz w:val="28"/>
          <w:szCs w:val="28"/>
        </w:rPr>
      </w:pPr>
    </w:p>
    <w:p>
      <w:pPr>
        <w:pStyle w:val="14"/>
        <w:spacing w:line="500" w:lineRule="exact"/>
        <w:rPr>
          <w:rFonts w:ascii="仿宋_GB2312" w:hAnsi="仿宋_GB2312" w:cs="仿宋_GB2312"/>
          <w:b/>
          <w:sz w:val="28"/>
          <w:szCs w:val="28"/>
        </w:rPr>
      </w:pPr>
      <w:r>
        <w:rPr>
          <w:rFonts w:hint="eastAsia"/>
          <w:b/>
          <w:sz w:val="28"/>
          <w:szCs w:val="28"/>
        </w:rPr>
        <w:t>第一部分单位概况</w:t>
      </w:r>
    </w:p>
    <w:p>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14"/>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14"/>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pStyle w:val="14"/>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pPr>
        <w:pStyle w:val="14"/>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pPr>
        <w:pStyle w:val="14"/>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pPr>
        <w:autoSpaceDE w:val="0"/>
        <w:autoSpaceDN w:val="0"/>
        <w:adjustRightInd w:val="0"/>
        <w:spacing w:line="500" w:lineRule="exact"/>
        <w:jc w:val="left"/>
        <w:rPr>
          <w:rFonts w:ascii="黑体" w:hAnsi="黑体" w:eastAsia="黑体" w:cs="黑体"/>
          <w:b/>
          <w:color w:val="000000"/>
          <w:kern w:val="0"/>
          <w:sz w:val="28"/>
          <w:szCs w:val="28"/>
        </w:rPr>
      </w:pPr>
    </w:p>
    <w:p>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pPr>
        <w:autoSpaceDE w:val="0"/>
        <w:autoSpaceDN w:val="0"/>
        <w:adjustRightInd w:val="0"/>
        <w:spacing w:line="500" w:lineRule="exact"/>
        <w:jc w:val="left"/>
        <w:rPr>
          <w:rFonts w:hint="eastAsia" w:ascii="黑体" w:hAnsi="黑体" w:eastAsia="黑体" w:cs="黑体"/>
          <w:b/>
          <w:color w:val="000000"/>
          <w:kern w:val="0"/>
          <w:sz w:val="28"/>
          <w:szCs w:val="28"/>
        </w:rPr>
      </w:pP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4"/>
        <w:jc w:val="center"/>
        <w:rPr>
          <w:sz w:val="84"/>
          <w:szCs w:val="84"/>
        </w:rPr>
      </w:pPr>
      <w:r>
        <w:rPr>
          <w:rFonts w:hint="eastAsia"/>
          <w:sz w:val="84"/>
          <w:szCs w:val="84"/>
        </w:rPr>
        <w:t>第一部分</w:t>
      </w:r>
      <w:r>
        <w:rPr>
          <w:sz w:val="84"/>
          <w:szCs w:val="84"/>
        </w:rPr>
        <w:t xml:space="preserve"> </w:t>
      </w:r>
    </w:p>
    <w:p>
      <w:pPr>
        <w:pStyle w:val="14"/>
        <w:jc w:val="center"/>
        <w:rPr>
          <w:sz w:val="84"/>
          <w:szCs w:val="84"/>
        </w:rPr>
      </w:pPr>
    </w:p>
    <w:p>
      <w:pPr>
        <w:pStyle w:val="14"/>
        <w:jc w:val="center"/>
        <w:rPr>
          <w:sz w:val="84"/>
          <w:szCs w:val="84"/>
        </w:rPr>
      </w:pPr>
      <w:r>
        <w:rPr>
          <w:rFonts w:hint="eastAsia"/>
          <w:sz w:val="84"/>
          <w:szCs w:val="84"/>
        </w:rPr>
        <w:t>单位概况</w:t>
      </w:r>
    </w:p>
    <w:p>
      <w:pPr>
        <w:jc w:val="center"/>
        <w:rPr>
          <w:sz w:val="72"/>
          <w:szCs w:val="72"/>
        </w:rPr>
      </w:pPr>
    </w:p>
    <w:p>
      <w:pPr>
        <w:pStyle w:val="15"/>
        <w:numPr>
          <w:ilvl w:val="0"/>
          <w:numId w:val="0"/>
        </w:numPr>
        <w:ind w:leftChars="0"/>
        <w:jc w:val="left"/>
        <w:rPr>
          <w:rFonts w:ascii="黑体" w:hAnsi="黑体" w:eastAsia="黑体"/>
          <w:sz w:val="32"/>
          <w:szCs w:val="32"/>
        </w:rPr>
      </w:pPr>
    </w:p>
    <w:p>
      <w:pPr>
        <w:pStyle w:val="15"/>
        <w:numPr>
          <w:ilvl w:val="0"/>
          <w:numId w:val="0"/>
        </w:numPr>
        <w:ind w:leftChars="0"/>
        <w:jc w:val="left"/>
        <w:rPr>
          <w:rFonts w:ascii="黑体" w:hAnsi="黑体" w:eastAsia="黑体"/>
          <w:sz w:val="32"/>
          <w:szCs w:val="32"/>
        </w:rPr>
      </w:pPr>
    </w:p>
    <w:p>
      <w:pPr>
        <w:pStyle w:val="15"/>
        <w:numPr>
          <w:ilvl w:val="0"/>
          <w:numId w:val="0"/>
        </w:numPr>
        <w:ind w:leftChars="0"/>
        <w:jc w:val="left"/>
        <w:rPr>
          <w:rFonts w:hint="eastAsia" w:ascii="黑体" w:hAnsi="黑体" w:eastAsia="黑体"/>
          <w:sz w:val="32"/>
          <w:szCs w:val="32"/>
          <w:lang w:eastAsia="zh-CN"/>
        </w:rPr>
      </w:pPr>
    </w:p>
    <w:p>
      <w:pPr>
        <w:pStyle w:val="15"/>
        <w:numPr>
          <w:ilvl w:val="0"/>
          <w:numId w:val="0"/>
        </w:numPr>
        <w:ind w:leftChars="0"/>
        <w:jc w:val="left"/>
        <w:rPr>
          <w:rFonts w:hint="eastAsia" w:ascii="黑体" w:hAnsi="黑体" w:eastAsia="黑体"/>
          <w:sz w:val="32"/>
          <w:szCs w:val="32"/>
          <w:lang w:eastAsia="zh-CN"/>
        </w:rPr>
      </w:pPr>
    </w:p>
    <w:p>
      <w:pPr>
        <w:pStyle w:val="15"/>
        <w:numPr>
          <w:ilvl w:val="0"/>
          <w:numId w:val="0"/>
        </w:numPr>
        <w:ind w:leftChars="0"/>
        <w:jc w:val="left"/>
        <w:rPr>
          <w:rFonts w:ascii="黑体" w:hAnsi="黑体" w:eastAsia="黑体"/>
          <w:sz w:val="32"/>
          <w:szCs w:val="32"/>
        </w:rPr>
      </w:pPr>
      <w:r>
        <w:rPr>
          <w:rFonts w:hint="eastAsia" w:ascii="黑体" w:hAnsi="黑体" w:eastAsia="黑体"/>
          <w:sz w:val="32"/>
          <w:szCs w:val="32"/>
          <w:lang w:eastAsia="zh-CN"/>
        </w:rPr>
        <w:t>一、</w:t>
      </w:r>
      <w:r>
        <w:rPr>
          <w:rFonts w:ascii="黑体" w:hAnsi="黑体" w:eastAsia="黑体"/>
          <w:sz w:val="32"/>
          <w:szCs w:val="32"/>
        </w:rPr>
        <w:t>部门职责</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（一）协助市政府领导同志审核或组织起草以市政府、市政府办公室名义发布的公文。</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（二）研究市政府各部门和各乡（镇）人民政府请示市政府的事项，提出审核意见，报市政府领导同志审批。</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（三）负责市政府会议的组织和服务工作，协助实施会议决定事项。</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（四）根据市政府领导同志的指示或工作需要，对有关问题进行协调，提出处理意见，报市政府领导同志决定。</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（五）办理中央、省、怀化市政府和市政府领导同志的批示，并督促落实。督促检查市政府各部门和各乡（镇）人民政府对市政府决定事项的执行落实情况，及时向市政府报告。</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（六）组织开展人大代表建议、政协提案办理工作。</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（七）负责政务信息的收集并向国务院、省政府、怀化市政府和洪江市政府领导同志报告重要信息和情况。</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（八）负责市政府值班工作。</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（九）负责国务院、省政府、怀化市政府以及上级政府对口部门领导来洪检查指导工作和外地政府领导来洪考察了解情况的协调联络工作。</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（十）负责协调、监督管理财税金融工作。</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（十一）根据市政府领导同志的指示和市政府工作部署，对全市经济建设、社会发展和改革中带全局性的重大课题进行调查研究，及时反映情况，提出政策建议；联系、指导全市政府系统的调研工作。</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（十二）贯彻落实市委、市政府有关优化经济发展环境的政策、措施；负责全市优化经济发展环境工作的组织实施和优化经济发展环境工作的监督、检查以及组织调处、督办影响经济发展环境的各类纠纷和案件。</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（十三）负责市政府行政效能督查督办工作。</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（十四）负责指导、协调、推进全市行政审批制度改革工作。</w:t>
      </w:r>
    </w:p>
    <w:p>
      <w:pPr>
        <w:jc w:val="left"/>
        <w:rPr>
          <w:rFonts w:hint="eastAsia" w:ascii="仿宋_GB2312" w:eastAsia="仿宋_GB2312" w:hAnsiTheme="minorEastAsia"/>
          <w:sz w:val="28"/>
          <w:szCs w:val="32"/>
        </w:rPr>
      </w:pPr>
      <w:r>
        <w:rPr>
          <w:rFonts w:hint="eastAsia" w:ascii="仿宋_GB2312" w:eastAsia="仿宋_GB2312" w:hAnsiTheme="minorEastAsia"/>
          <w:sz w:val="28"/>
          <w:szCs w:val="32"/>
        </w:rPr>
        <w:t>（十五）完成市委、市政府交办的其他任务。</w:t>
      </w:r>
    </w:p>
    <w:p>
      <w:pPr>
        <w:jc w:val="left"/>
        <w:rPr>
          <w:rFonts w:ascii="仿宋_GB2312" w:eastAsia="仿宋_GB2312" w:hAnsiTheme="minorEastAsia"/>
          <w:sz w:val="28"/>
          <w:szCs w:val="32"/>
        </w:rPr>
      </w:pP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widowControl/>
        <w:spacing w:line="600" w:lineRule="exact"/>
        <w:rPr>
          <w:rFonts w:hint="eastAsia" w:asciiTheme="minorEastAsia" w:hAnsiTheme="minorEastAsia"/>
          <w:bCs/>
          <w:kern w:val="0"/>
          <w:sz w:val="32"/>
          <w:szCs w:val="32"/>
          <w:lang w:val="en-US" w:eastAsia="zh-CN"/>
        </w:rPr>
      </w:pPr>
      <w:r>
        <w:rPr>
          <w:rFonts w:hint="eastAsia" w:asciiTheme="minorEastAsia" w:hAnsiTheme="minorEastAsia"/>
          <w:bCs/>
          <w:kern w:val="0"/>
          <w:sz w:val="32"/>
          <w:szCs w:val="32"/>
        </w:rPr>
        <w:t>（一）内设机构设置：市政府办设1</w:t>
      </w:r>
      <w:r>
        <w:rPr>
          <w:rFonts w:hint="eastAsia" w:asciiTheme="minorEastAsia" w:hAnsiTheme="minorEastAsia"/>
          <w:bCs/>
          <w:kern w:val="0"/>
          <w:sz w:val="32"/>
          <w:szCs w:val="32"/>
          <w:lang w:val="en-US" w:eastAsia="zh-CN"/>
        </w:rPr>
        <w:t>3</w:t>
      </w:r>
      <w:r>
        <w:rPr>
          <w:rFonts w:hint="eastAsia" w:asciiTheme="minorEastAsia" w:hAnsiTheme="minorEastAsia"/>
          <w:bCs/>
          <w:kern w:val="0"/>
          <w:sz w:val="32"/>
          <w:szCs w:val="32"/>
        </w:rPr>
        <w:t>个内设机构,市政府总值班室</w:t>
      </w:r>
      <w:r>
        <w:rPr>
          <w:rFonts w:hint="eastAsia" w:asciiTheme="minorEastAsia" w:hAnsiTheme="minorEastAsia"/>
          <w:bCs/>
          <w:kern w:val="0"/>
          <w:sz w:val="32"/>
          <w:szCs w:val="32"/>
          <w:lang w:eastAsia="zh-CN"/>
        </w:rPr>
        <w:t>、经济调查研究信息室、文电室、会议服务室、市政府督查室（行政效能室）、优化经济发展环境工作办公室、行政事务管理办公室、政务服务室、人事股、财税金融办公室、机要室、综合室、文秘室；</w:t>
      </w:r>
      <w:r>
        <w:rPr>
          <w:rFonts w:hint="eastAsia" w:asciiTheme="minorEastAsia" w:hAnsiTheme="minorEastAsia"/>
          <w:bCs/>
          <w:kern w:val="0"/>
          <w:sz w:val="32"/>
          <w:szCs w:val="32"/>
          <w:lang w:val="en-US" w:eastAsia="zh-CN"/>
        </w:rPr>
        <w:t>二级事业单位五个:洪江市道路安全委员会办公室、洪江市禁毒工作社会化办公室、企业改制服务中心、洪江市中药材产业发展中心和柑桔产业办。</w:t>
      </w:r>
    </w:p>
    <w:p>
      <w:pPr>
        <w:widowControl/>
        <w:spacing w:line="600" w:lineRule="exact"/>
        <w:rPr>
          <w:rFonts w:hint="eastAsia" w:asciiTheme="minorEastAsia" w:hAnsiTheme="minorEastAsia"/>
          <w:bCs/>
          <w:kern w:val="0"/>
          <w:sz w:val="32"/>
          <w:szCs w:val="32"/>
        </w:rPr>
      </w:pPr>
    </w:p>
    <w:p>
      <w:pPr>
        <w:jc w:val="left"/>
        <w:rPr>
          <w:rFonts w:ascii="仿宋_GB2312" w:eastAsia="仿宋_GB2312" w:hAnsiTheme="minorEastAsia"/>
          <w:sz w:val="28"/>
          <w:szCs w:val="32"/>
        </w:rPr>
      </w:pPr>
      <w:r>
        <w:rPr>
          <w:rFonts w:hint="eastAsia" w:asciiTheme="minorEastAsia" w:hAnsiTheme="minorEastAsia"/>
          <w:bCs/>
          <w:kern w:val="0"/>
          <w:sz w:val="32"/>
          <w:szCs w:val="32"/>
        </w:rPr>
        <w:t>（二）决算单位构成。</w:t>
      </w:r>
      <w:r>
        <w:rPr>
          <w:rFonts w:hint="eastAsia" w:asciiTheme="minorEastAsia" w:hAnsiTheme="minorEastAsia"/>
          <w:bCs/>
          <w:kern w:val="0"/>
          <w:sz w:val="32"/>
          <w:szCs w:val="32"/>
          <w:lang w:eastAsia="zh-CN"/>
        </w:rPr>
        <w:t>政府办</w:t>
      </w:r>
      <w:r>
        <w:rPr>
          <w:rFonts w:hint="eastAsia" w:asciiTheme="minorEastAsia" w:hAnsiTheme="minorEastAsia"/>
          <w:bCs/>
          <w:kern w:val="0"/>
          <w:sz w:val="32"/>
          <w:szCs w:val="32"/>
        </w:rPr>
        <w:t>20</w:t>
      </w:r>
      <w:r>
        <w:rPr>
          <w:rFonts w:hint="eastAsia" w:asciiTheme="minorEastAsia" w:hAnsiTheme="minorEastAsia"/>
          <w:bCs/>
          <w:kern w:val="0"/>
          <w:sz w:val="32"/>
          <w:szCs w:val="32"/>
          <w:lang w:val="en-US" w:eastAsia="zh-CN"/>
        </w:rPr>
        <w:t>20</w:t>
      </w:r>
      <w:r>
        <w:rPr>
          <w:rFonts w:hint="eastAsia" w:asciiTheme="minorEastAsia" w:hAnsiTheme="minorEastAsia"/>
          <w:bCs/>
          <w:kern w:val="0"/>
          <w:sz w:val="32"/>
          <w:szCs w:val="32"/>
        </w:rPr>
        <w:t>年部门决算汇总公开单位构成包括：</w:t>
      </w:r>
      <w:r>
        <w:rPr>
          <w:rFonts w:hint="eastAsia" w:asciiTheme="minorEastAsia" w:hAnsiTheme="minorEastAsia"/>
          <w:bCs/>
          <w:kern w:val="0"/>
          <w:sz w:val="32"/>
          <w:szCs w:val="32"/>
          <w:lang w:eastAsia="zh-CN"/>
        </w:rPr>
        <w:t>洪江市政府办</w:t>
      </w:r>
      <w:r>
        <w:rPr>
          <w:rFonts w:hint="eastAsia" w:asciiTheme="minorEastAsia" w:hAnsiTheme="minorEastAsia"/>
          <w:bCs/>
          <w:kern w:val="0"/>
          <w:sz w:val="32"/>
          <w:szCs w:val="32"/>
        </w:rPr>
        <w:t>本级</w:t>
      </w:r>
      <w:r>
        <w:rPr>
          <w:rFonts w:hint="eastAsia" w:asciiTheme="minorEastAsia" w:hAnsiTheme="minorEastAsia"/>
          <w:bCs/>
          <w:kern w:val="0"/>
          <w:sz w:val="32"/>
          <w:szCs w:val="32"/>
          <w:lang w:eastAsia="zh-CN"/>
        </w:rPr>
        <w:t>。</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both"/>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pPr>
      <w:r>
        <w:rPr>
          <w:rFonts w:hint="eastAsia"/>
          <w:sz w:val="72"/>
          <w:szCs w:val="72"/>
        </w:rPr>
        <w:t>部门决算表</w:t>
      </w:r>
    </w:p>
    <w:p>
      <w:pPr>
        <w:jc w:val="center"/>
        <w:rPr>
          <w:sz w:val="72"/>
          <w:szCs w:val="72"/>
        </w:rPr>
      </w:pPr>
    </w:p>
    <w:p>
      <w:pPr>
        <w:jc w:val="center"/>
        <w:rPr>
          <w:sz w:val="72"/>
          <w:szCs w:val="72"/>
        </w:rPr>
      </w:pPr>
    </w:p>
    <w:p>
      <w:pPr>
        <w:widowControl/>
        <w:jc w:val="center"/>
        <w:rPr>
          <w:rFonts w:hint="eastAsia" w:eastAsiaTheme="minorEastAsia"/>
          <w:sz w:val="44"/>
          <w:szCs w:val="44"/>
          <w:lang w:eastAsia="zh-CN"/>
        </w:rPr>
        <w:sectPr>
          <w:pgSz w:w="16838" w:h="11906" w:orient="landscape"/>
          <w:pgMar w:top="720" w:right="720" w:bottom="720" w:left="720" w:header="851" w:footer="992" w:gutter="0"/>
          <w:cols w:space="425" w:num="1"/>
          <w:docGrid w:type="lines" w:linePitch="312" w:charSpace="0"/>
        </w:sectPr>
      </w:pPr>
      <w:r>
        <w:rPr>
          <w:rFonts w:hint="eastAsia"/>
          <w:sz w:val="44"/>
          <w:szCs w:val="44"/>
          <w:lang w:eastAsia="zh-CN"/>
        </w:rPr>
        <w:t>见附件</w:t>
      </w:r>
    </w:p>
    <w:p>
      <w:pPr>
        <w:pStyle w:val="14"/>
        <w:jc w:val="both"/>
        <w:rPr>
          <w:sz w:val="72"/>
          <w:szCs w:val="72"/>
        </w:rPr>
      </w:pPr>
    </w:p>
    <w:p>
      <w:pPr>
        <w:pStyle w:val="14"/>
        <w:jc w:val="center"/>
        <w:rPr>
          <w:sz w:val="72"/>
          <w:szCs w:val="72"/>
        </w:rPr>
      </w:pPr>
    </w:p>
    <w:p>
      <w:pPr>
        <w:pStyle w:val="14"/>
        <w:jc w:val="center"/>
        <w:rPr>
          <w:sz w:val="72"/>
          <w:szCs w:val="72"/>
        </w:rPr>
      </w:pPr>
      <w:r>
        <w:rPr>
          <w:rFonts w:hint="eastAsia"/>
          <w:sz w:val="72"/>
          <w:szCs w:val="72"/>
        </w:rPr>
        <w:t>第三部分</w:t>
      </w:r>
    </w:p>
    <w:p>
      <w:pPr>
        <w:pStyle w:val="14"/>
        <w:jc w:val="center"/>
        <w:rPr>
          <w:sz w:val="70"/>
          <w:szCs w:val="70"/>
        </w:rPr>
      </w:pPr>
    </w:p>
    <w:p>
      <w:pPr>
        <w:pStyle w:val="14"/>
        <w:jc w:val="center"/>
        <w:rPr>
          <w:sz w:val="70"/>
          <w:szCs w:val="70"/>
        </w:rPr>
      </w:pPr>
      <w:r>
        <w:rPr>
          <w:sz w:val="70"/>
          <w:szCs w:val="70"/>
        </w:rPr>
        <w:t>20</w:t>
      </w:r>
      <w:r>
        <w:rPr>
          <w:rFonts w:hint="eastAsia"/>
          <w:sz w:val="70"/>
          <w:szCs w:val="70"/>
        </w:rPr>
        <w:t>20年度部门决算情况说明</w:t>
      </w:r>
    </w:p>
    <w:p>
      <w:pPr>
        <w:widowControl/>
        <w:jc w:val="left"/>
        <w:rPr>
          <w:rFonts w:ascii="黑体" w:eastAsia="黑体" w:cs="黑体"/>
          <w:color w:val="000000"/>
          <w:kern w:val="0"/>
          <w:sz w:val="70"/>
          <w:szCs w:val="70"/>
        </w:rPr>
      </w:pPr>
      <w:r>
        <w:rPr>
          <w:sz w:val="70"/>
          <w:szCs w:val="70"/>
        </w:rPr>
        <w:br w:type="page"/>
      </w:r>
    </w:p>
    <w:p>
      <w:pPr>
        <w:pStyle w:val="14"/>
        <w:rPr>
          <w:rFonts w:asciiTheme="minorEastAsia" w:hAnsiTheme="minorEastAsia" w:eastAsiaTheme="minorEastAsia"/>
          <w:sz w:val="32"/>
          <w:szCs w:val="32"/>
        </w:rPr>
      </w:pPr>
    </w:p>
    <w:p>
      <w:pPr>
        <w:pStyle w:val="14"/>
        <w:rPr>
          <w:rFonts w:hAnsi="黑体"/>
          <w:b/>
          <w:sz w:val="32"/>
          <w:szCs w:val="32"/>
        </w:rPr>
      </w:pPr>
      <w:r>
        <w:rPr>
          <w:rFonts w:hint="eastAsia" w:hAnsi="黑体"/>
          <w:b/>
          <w:sz w:val="32"/>
          <w:szCs w:val="32"/>
        </w:rPr>
        <w:t>一、收入支出决算总体情况说明</w:t>
      </w:r>
    </w:p>
    <w:p>
      <w:pPr>
        <w:pStyle w:val="14"/>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2020年度收、支总计</w:t>
      </w:r>
      <w:r>
        <w:rPr>
          <w:rFonts w:hint="eastAsia" w:asciiTheme="minorEastAsia" w:hAnsiTheme="minorEastAsia" w:eastAsiaTheme="minorEastAsia"/>
          <w:sz w:val="32"/>
          <w:szCs w:val="32"/>
          <w:lang w:val="en-US" w:eastAsia="zh-CN"/>
        </w:rPr>
        <w:t>1240.71</w:t>
      </w:r>
      <w:r>
        <w:rPr>
          <w:rFonts w:hint="eastAsia" w:asciiTheme="minorEastAsia" w:hAnsiTheme="minorEastAsia" w:eastAsiaTheme="minorEastAsia"/>
          <w:sz w:val="32"/>
          <w:szCs w:val="32"/>
        </w:rPr>
        <w:t>万元。与上年相比，</w:t>
      </w:r>
      <w:r>
        <w:rPr>
          <w:rFonts w:hint="eastAsia" w:asciiTheme="minorEastAsia" w:hAnsiTheme="minorEastAsia" w:eastAsiaTheme="minorEastAsia"/>
          <w:sz w:val="32"/>
          <w:szCs w:val="32"/>
          <w:lang w:eastAsia="zh-CN"/>
        </w:rPr>
        <w:t>减少</w:t>
      </w:r>
      <w:r>
        <w:rPr>
          <w:rFonts w:hint="eastAsia" w:asciiTheme="minorEastAsia" w:hAnsiTheme="minorEastAsia" w:eastAsiaTheme="minorEastAsia"/>
          <w:sz w:val="32"/>
          <w:szCs w:val="32"/>
          <w:lang w:val="en-US" w:eastAsia="zh-CN"/>
        </w:rPr>
        <w:t>514.11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减少</w:t>
      </w:r>
      <w:r>
        <w:rPr>
          <w:rFonts w:hint="eastAsia" w:asciiTheme="minorEastAsia" w:hAnsiTheme="minorEastAsia" w:eastAsiaTheme="minorEastAsia"/>
          <w:sz w:val="32"/>
          <w:szCs w:val="32"/>
          <w:lang w:val="en-US" w:eastAsia="zh-CN"/>
        </w:rPr>
        <w:t>29.30%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主要原因是由于机构合并，人员减少，相关经费减少；根据要求，继续压减一般性支出经费。</w:t>
      </w:r>
    </w:p>
    <w:p>
      <w:pPr>
        <w:pStyle w:val="14"/>
        <w:rPr>
          <w:rFonts w:hAnsi="黑体"/>
          <w:b/>
          <w:sz w:val="32"/>
          <w:szCs w:val="32"/>
        </w:rPr>
      </w:pPr>
      <w:r>
        <w:rPr>
          <w:rFonts w:hint="eastAsia" w:hAnsi="黑体"/>
          <w:b/>
          <w:sz w:val="32"/>
          <w:szCs w:val="32"/>
        </w:rPr>
        <w:t>二、收入决算情况说明</w:t>
      </w:r>
    </w:p>
    <w:p>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w:t>
      </w:r>
      <w:r>
        <w:rPr>
          <w:rFonts w:hint="eastAsia" w:asciiTheme="minorEastAsia" w:hAnsiTheme="minorEastAsia" w:eastAsiaTheme="minorEastAsia"/>
          <w:sz w:val="32"/>
          <w:szCs w:val="32"/>
          <w:lang w:val="en-US" w:eastAsia="zh-CN"/>
        </w:rPr>
        <w:t>1240.71</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1240.71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p>
    <w:p>
      <w:pPr>
        <w:pStyle w:val="14"/>
        <w:rPr>
          <w:rFonts w:hAnsi="黑体"/>
          <w:b/>
          <w:sz w:val="32"/>
          <w:szCs w:val="32"/>
        </w:rPr>
      </w:pPr>
      <w:r>
        <w:rPr>
          <w:rFonts w:hint="eastAsia" w:hAnsi="黑体"/>
          <w:b/>
          <w:sz w:val="32"/>
          <w:szCs w:val="32"/>
        </w:rPr>
        <w:t>三、支出决算情况说明</w:t>
      </w:r>
    </w:p>
    <w:p>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w:t>
      </w:r>
      <w:r>
        <w:rPr>
          <w:rFonts w:hint="eastAsia" w:asciiTheme="minorEastAsia" w:hAnsiTheme="minorEastAsia" w:eastAsiaTheme="minorEastAsia"/>
          <w:sz w:val="32"/>
          <w:szCs w:val="32"/>
          <w:lang w:val="en-US" w:eastAsia="zh-CN"/>
        </w:rPr>
        <w:t>1240.71</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1240.71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p>
    <w:p>
      <w:pPr>
        <w:pStyle w:val="14"/>
        <w:rPr>
          <w:rFonts w:hAnsi="黑体"/>
          <w:b/>
          <w:sz w:val="32"/>
          <w:szCs w:val="32"/>
        </w:rPr>
      </w:pPr>
      <w:r>
        <w:rPr>
          <w:rFonts w:hint="eastAsia" w:hAnsi="黑体"/>
          <w:b/>
          <w:sz w:val="32"/>
          <w:szCs w:val="32"/>
        </w:rPr>
        <w:t>四、财政拨款收入支出决算总体情况说明</w:t>
      </w:r>
    </w:p>
    <w:p>
      <w:pPr>
        <w:pStyle w:val="14"/>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 xml:space="preserve">    2020年度财政拨款收、支总计</w:t>
      </w:r>
      <w:r>
        <w:rPr>
          <w:rFonts w:hint="eastAsia" w:asciiTheme="minorEastAsia" w:hAnsiTheme="minorEastAsia" w:eastAsiaTheme="minorEastAsia"/>
          <w:sz w:val="32"/>
          <w:szCs w:val="32"/>
          <w:lang w:val="en-US" w:eastAsia="zh-CN"/>
        </w:rPr>
        <w:t>1240.71</w:t>
      </w:r>
      <w:r>
        <w:rPr>
          <w:rFonts w:hint="eastAsia" w:asciiTheme="minorEastAsia" w:hAnsiTheme="minorEastAsia" w:eastAsiaTheme="minorEastAsia"/>
          <w:sz w:val="32"/>
          <w:szCs w:val="32"/>
        </w:rPr>
        <w:t>万元，与上年相比，</w:t>
      </w:r>
      <w:r>
        <w:rPr>
          <w:rFonts w:hint="eastAsia" w:asciiTheme="minorEastAsia" w:hAnsiTheme="minorEastAsia" w:eastAsiaTheme="minorEastAsia"/>
          <w:sz w:val="32"/>
          <w:szCs w:val="32"/>
          <w:lang w:eastAsia="zh-CN"/>
        </w:rPr>
        <w:t>减少</w:t>
      </w:r>
      <w:r>
        <w:rPr>
          <w:rFonts w:hint="eastAsia" w:asciiTheme="minorEastAsia" w:hAnsiTheme="minorEastAsia" w:eastAsiaTheme="minorEastAsia"/>
          <w:sz w:val="32"/>
          <w:szCs w:val="32"/>
          <w:lang w:val="en-US" w:eastAsia="zh-CN"/>
        </w:rPr>
        <w:t>514.11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减少</w:t>
      </w:r>
      <w:r>
        <w:rPr>
          <w:rFonts w:hint="eastAsia" w:asciiTheme="minorEastAsia" w:hAnsiTheme="minorEastAsia" w:eastAsiaTheme="minorEastAsia"/>
          <w:sz w:val="32"/>
          <w:szCs w:val="32"/>
          <w:lang w:val="en-US" w:eastAsia="zh-CN"/>
        </w:rPr>
        <w:t>29.30%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主要原因是由于机构合并，人员减少，相关经费减少；根据要求，继续压减一般性支出经费。</w:t>
      </w:r>
    </w:p>
    <w:p>
      <w:pPr>
        <w:pStyle w:val="14"/>
        <w:rPr>
          <w:rFonts w:hAnsi="黑体"/>
          <w:b/>
          <w:sz w:val="32"/>
          <w:szCs w:val="32"/>
        </w:rPr>
      </w:pPr>
      <w:r>
        <w:rPr>
          <w:rFonts w:hint="eastAsia" w:hAnsi="黑体"/>
          <w:b/>
          <w:sz w:val="32"/>
          <w:szCs w:val="32"/>
        </w:rPr>
        <w:t>五、一般公共预算财政拨款支出决算情况说明</w:t>
      </w:r>
    </w:p>
    <w:p>
      <w:pPr>
        <w:pStyle w:val="14"/>
        <w:ind w:firstLine="643"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4"/>
        <w:ind w:firstLine="480" w:firstLineChars="1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sz w:val="32"/>
          <w:szCs w:val="32"/>
          <w:lang w:val="en-US" w:eastAsia="zh-CN"/>
        </w:rPr>
        <w:t>1240.71</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%，与上年相比，</w:t>
      </w:r>
      <w:r>
        <w:rPr>
          <w:rFonts w:hint="eastAsia" w:asciiTheme="minorEastAsia" w:hAnsiTheme="minorEastAsia" w:eastAsiaTheme="minorEastAsia"/>
          <w:sz w:val="32"/>
          <w:szCs w:val="32"/>
          <w:lang w:eastAsia="zh-CN"/>
        </w:rPr>
        <w:t>减少</w:t>
      </w:r>
      <w:r>
        <w:rPr>
          <w:rFonts w:hint="eastAsia" w:asciiTheme="minorEastAsia" w:hAnsiTheme="minorEastAsia" w:eastAsiaTheme="minorEastAsia"/>
          <w:sz w:val="32"/>
          <w:szCs w:val="32"/>
          <w:lang w:val="en-US" w:eastAsia="zh-CN"/>
        </w:rPr>
        <w:t>514.11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减少</w:t>
      </w:r>
      <w:r>
        <w:rPr>
          <w:rFonts w:hint="eastAsia" w:asciiTheme="minorEastAsia" w:hAnsiTheme="minorEastAsia" w:eastAsiaTheme="minorEastAsia"/>
          <w:sz w:val="32"/>
          <w:szCs w:val="32"/>
          <w:lang w:val="en-US" w:eastAsia="zh-CN"/>
        </w:rPr>
        <w:t>29.30%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主要原因是由于机构合并，人员减少，相关经费减少；根据要求，继续压减一般性支出经费。</w:t>
      </w:r>
    </w:p>
    <w:p>
      <w:pPr>
        <w:pStyle w:val="14"/>
        <w:ind w:firstLine="482"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sz w:val="32"/>
          <w:szCs w:val="32"/>
          <w:lang w:val="en-US" w:eastAsia="zh-CN"/>
        </w:rPr>
        <w:t>1240.71</w:t>
      </w:r>
      <w:r>
        <w:rPr>
          <w:rFonts w:hint="eastAsia" w:asciiTheme="minorEastAsia" w:hAnsiTheme="minorEastAsia" w:eastAsiaTheme="minorEastAsia"/>
          <w:sz w:val="32"/>
          <w:szCs w:val="32"/>
        </w:rPr>
        <w:t>万元，主要用于以下方面：主要用于以下方面：一般公共服务（类）支出</w:t>
      </w:r>
      <w:r>
        <w:rPr>
          <w:rFonts w:hint="eastAsia" w:asciiTheme="minorEastAsia" w:hAnsiTheme="minorEastAsia" w:eastAsiaTheme="minorEastAsia"/>
          <w:sz w:val="32"/>
          <w:szCs w:val="32"/>
          <w:lang w:val="en-US" w:eastAsia="zh-CN"/>
        </w:rPr>
        <w:t>1187.42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95.71</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社会保障和就业</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支出</w:t>
      </w:r>
      <w:r>
        <w:rPr>
          <w:rFonts w:hint="eastAsia" w:asciiTheme="minorEastAsia" w:hAnsiTheme="minorEastAsia" w:eastAsiaTheme="minorEastAsia"/>
          <w:sz w:val="32"/>
          <w:szCs w:val="32"/>
          <w:lang w:val="en-US" w:eastAsia="zh-CN"/>
        </w:rPr>
        <w:t>26.95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2.17</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住房保障支出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26.34，</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2.12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pPr>
        <w:pStyle w:val="14"/>
        <w:ind w:firstLine="803"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2020年度财政拨款支出年初预算数为</w:t>
      </w:r>
      <w:r>
        <w:rPr>
          <w:rFonts w:hint="eastAsia" w:asciiTheme="minorEastAsia" w:hAnsiTheme="minorEastAsia" w:eastAsiaTheme="minorEastAsia"/>
          <w:sz w:val="32"/>
          <w:szCs w:val="32"/>
          <w:lang w:val="en-US" w:eastAsia="zh-CN"/>
        </w:rPr>
        <w:t>1010.01</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1240.71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122.84</w:t>
      </w:r>
      <w:r>
        <w:rPr>
          <w:rFonts w:hint="eastAsia" w:asciiTheme="minorEastAsia" w:hAnsiTheme="minorEastAsia" w:eastAsiaTheme="minorEastAsia"/>
          <w:sz w:val="32"/>
          <w:szCs w:val="32"/>
        </w:rPr>
        <w:t>%，其中：</w:t>
      </w:r>
    </w:p>
    <w:p>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1、一般公共服务（类）政府办公厅（室）及相关机构事务（款）行政运行（政府办公厅（室）及相关机构事务）（项）。</w:t>
      </w:r>
    </w:p>
    <w:p>
      <w:pPr>
        <w:pStyle w:val="14"/>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1010.01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1187.42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117.56</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eastAsia="zh-CN"/>
        </w:rPr>
        <w:t>人员工资增加和</w:t>
      </w:r>
      <w:r>
        <w:rPr>
          <w:rFonts w:hint="eastAsia" w:asciiTheme="minorEastAsia" w:hAnsiTheme="minorEastAsia" w:eastAsiaTheme="minorEastAsia"/>
          <w:sz w:val="32"/>
          <w:szCs w:val="32"/>
          <w:lang w:val="en-US" w:eastAsia="zh-CN"/>
        </w:rPr>
        <w:t>年终绩效奖没有编入年初预算。</w:t>
      </w:r>
    </w:p>
    <w:p>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w:t>
      </w:r>
      <w:r>
        <w:rPr>
          <w:rFonts w:hint="eastAsia" w:asciiTheme="minorEastAsia" w:hAnsiTheme="minorEastAsia" w:eastAsiaTheme="minorEastAsia"/>
          <w:sz w:val="32"/>
          <w:szCs w:val="32"/>
          <w:lang w:val="en-US" w:eastAsia="zh-CN"/>
        </w:rPr>
        <w:t>社会保障和就业支出</w:t>
      </w:r>
      <w:r>
        <w:rPr>
          <w:rFonts w:hint="eastAsia" w:asciiTheme="minorEastAsia" w:hAnsiTheme="minorEastAsia" w:eastAsiaTheme="minorEastAsia"/>
          <w:sz w:val="32"/>
          <w:szCs w:val="32"/>
        </w:rPr>
        <w:t>（类）抚恤（款） 死亡抚恤（项）。</w:t>
      </w:r>
    </w:p>
    <w:p>
      <w:pPr>
        <w:pStyle w:val="14"/>
        <w:numPr>
          <w:ilvl w:val="0"/>
          <w:numId w:val="0"/>
        </w:numPr>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该项支出年初没有编入预算，</w:t>
      </w:r>
      <w:r>
        <w:rPr>
          <w:rFonts w:hint="eastAsia" w:asciiTheme="minorEastAsia" w:hAnsiTheme="minorEastAsia" w:eastAsiaTheme="minorEastAsia"/>
          <w:sz w:val="32"/>
          <w:szCs w:val="32"/>
        </w:rPr>
        <w:t>支出决算为</w:t>
      </w:r>
      <w:r>
        <w:rPr>
          <w:rFonts w:hint="eastAsia" w:asciiTheme="minorEastAsia" w:hAnsiTheme="minorEastAsia" w:eastAsiaTheme="minorEastAsia"/>
          <w:sz w:val="32"/>
          <w:szCs w:val="32"/>
          <w:lang w:val="en-US" w:eastAsia="zh-CN"/>
        </w:rPr>
        <w:t>26.95</w:t>
      </w:r>
      <w:r>
        <w:rPr>
          <w:rFonts w:hint="eastAsia" w:asciiTheme="minorEastAsia" w:hAnsiTheme="minorEastAsia" w:eastAsiaTheme="minorEastAsia"/>
          <w:sz w:val="32"/>
          <w:szCs w:val="32"/>
        </w:rPr>
        <w:t>万元，决算数大于年初预算数的主要原因是：</w:t>
      </w:r>
      <w:r>
        <w:rPr>
          <w:rFonts w:hint="eastAsia" w:asciiTheme="minorEastAsia" w:hAnsiTheme="minorEastAsia" w:eastAsiaTheme="minorEastAsia"/>
          <w:sz w:val="32"/>
          <w:szCs w:val="32"/>
          <w:lang w:eastAsia="zh-CN"/>
        </w:rPr>
        <w:t>追加了退休人员病故一次性抚恤金经费。</w:t>
      </w:r>
    </w:p>
    <w:p>
      <w:pPr>
        <w:pStyle w:val="14"/>
        <w:numPr>
          <w:ilvl w:val="0"/>
          <w:numId w:val="0"/>
        </w:numPr>
        <w:ind w:left="630" w:leftChars="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3、住房保障支出</w:t>
      </w:r>
      <w:r>
        <w:rPr>
          <w:rFonts w:hint="eastAsia" w:asciiTheme="minorEastAsia" w:hAnsiTheme="minorEastAsia" w:eastAsiaTheme="minorEastAsia"/>
          <w:sz w:val="32"/>
          <w:szCs w:val="32"/>
        </w:rPr>
        <w:t>（类）住房改革支出（款）住房公积金（项）。</w:t>
      </w:r>
    </w:p>
    <w:p>
      <w:pPr>
        <w:pStyle w:val="14"/>
        <w:numPr>
          <w:ilvl w:val="0"/>
          <w:numId w:val="0"/>
        </w:numPr>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该项支出年初没有编入预算，</w:t>
      </w:r>
      <w:r>
        <w:rPr>
          <w:rFonts w:hint="eastAsia" w:asciiTheme="minorEastAsia" w:hAnsiTheme="minorEastAsia" w:eastAsiaTheme="minorEastAsia"/>
          <w:sz w:val="32"/>
          <w:szCs w:val="32"/>
        </w:rPr>
        <w:t>支出决算为</w:t>
      </w:r>
      <w:r>
        <w:rPr>
          <w:rFonts w:hint="eastAsia" w:asciiTheme="minorEastAsia" w:hAnsiTheme="minorEastAsia" w:eastAsiaTheme="minorEastAsia"/>
          <w:sz w:val="32"/>
          <w:szCs w:val="32"/>
          <w:lang w:val="en-US" w:eastAsia="zh-CN"/>
        </w:rPr>
        <w:t>26.34</w:t>
      </w:r>
      <w:r>
        <w:rPr>
          <w:rFonts w:hint="eastAsia" w:asciiTheme="minorEastAsia" w:hAnsiTheme="minorEastAsia" w:eastAsiaTheme="minorEastAsia"/>
          <w:sz w:val="32"/>
          <w:szCs w:val="32"/>
        </w:rPr>
        <w:t>万元，决算数大于年初预算数的主要原因是：</w:t>
      </w:r>
      <w:r>
        <w:rPr>
          <w:rFonts w:hint="eastAsia" w:asciiTheme="minorEastAsia" w:hAnsiTheme="minorEastAsia" w:eastAsiaTheme="minorEastAsia"/>
          <w:sz w:val="32"/>
          <w:szCs w:val="32"/>
          <w:lang w:eastAsia="zh-CN"/>
        </w:rPr>
        <w:t>年初没有编入预算。</w:t>
      </w:r>
    </w:p>
    <w:p>
      <w:pPr>
        <w:pStyle w:val="14"/>
        <w:ind w:firstLine="800" w:firstLineChars="250"/>
        <w:rPr>
          <w:rFonts w:hint="eastAsia" w:asciiTheme="minorEastAsia" w:hAnsiTheme="minorEastAsia" w:eastAsiaTheme="minorEastAsia"/>
          <w:sz w:val="32"/>
          <w:szCs w:val="32"/>
          <w:lang w:val="en-US" w:eastAsia="zh-CN"/>
        </w:rPr>
      </w:pPr>
    </w:p>
    <w:p>
      <w:pPr>
        <w:pStyle w:val="14"/>
        <w:rPr>
          <w:rFonts w:hAnsi="黑体"/>
          <w:b/>
          <w:sz w:val="32"/>
          <w:szCs w:val="32"/>
        </w:rPr>
      </w:pPr>
      <w:r>
        <w:rPr>
          <w:rFonts w:hint="eastAsia" w:hAnsi="黑体"/>
          <w:b/>
          <w:sz w:val="32"/>
          <w:szCs w:val="32"/>
        </w:rPr>
        <w:t>六、一般公共预算财政拨款基本支出决算情况说明</w:t>
      </w:r>
    </w:p>
    <w:p>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2020年度财政拨款基本支出</w:t>
      </w:r>
      <w:r>
        <w:rPr>
          <w:rFonts w:hint="eastAsia" w:asciiTheme="minorEastAsia" w:hAnsiTheme="minorEastAsia" w:eastAsiaTheme="minorEastAsia"/>
          <w:sz w:val="32"/>
          <w:szCs w:val="32"/>
          <w:lang w:val="en-US" w:eastAsia="zh-CN"/>
        </w:rPr>
        <w:t>1240.71</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875.14</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70.54</w:t>
      </w:r>
      <w:r>
        <w:rPr>
          <w:rFonts w:hint="eastAsia" w:asciiTheme="minorEastAsia" w:hAnsiTheme="minorEastAsia" w:eastAsiaTheme="minorEastAsia"/>
          <w:sz w:val="32"/>
          <w:szCs w:val="32"/>
        </w:rPr>
        <w:t>%,主要包括基本工资、津贴补贴、奖金、</w:t>
      </w:r>
      <w:r>
        <w:rPr>
          <w:rFonts w:hint="eastAsia" w:asciiTheme="minorEastAsia" w:hAnsiTheme="minorEastAsia" w:eastAsiaTheme="minorEastAsia"/>
          <w:sz w:val="32"/>
          <w:szCs w:val="32"/>
          <w:lang w:eastAsia="zh-CN"/>
        </w:rPr>
        <w:t>等</w:t>
      </w:r>
      <w:r>
        <w:rPr>
          <w:rFonts w:hint="eastAsia" w:asciiTheme="minorEastAsia" w:hAnsiTheme="minorEastAsia" w:eastAsiaTheme="minorEastAsia"/>
          <w:sz w:val="32"/>
          <w:szCs w:val="32"/>
        </w:rPr>
        <w:t>；公用经费</w:t>
      </w:r>
      <w:r>
        <w:rPr>
          <w:rFonts w:hint="eastAsia" w:ascii="仿宋_GB2312" w:hAnsi="仿宋_GB2312" w:eastAsia="仿宋_GB2312" w:cs="仿宋_GB2312"/>
          <w:kern w:val="1"/>
          <w:sz w:val="32"/>
          <w:szCs w:val="32"/>
          <w:lang w:val="en-US" w:eastAsia="zh-CN"/>
        </w:rPr>
        <w:t>365.57</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29.46</w:t>
      </w:r>
      <w:r>
        <w:rPr>
          <w:rFonts w:hint="eastAsia" w:asciiTheme="minorEastAsia" w:hAnsiTheme="minorEastAsia" w:eastAsiaTheme="minorEastAsia"/>
          <w:sz w:val="32"/>
          <w:szCs w:val="32"/>
        </w:rPr>
        <w:t>%，主要包括办公费、印刷费、咨询费、手</w:t>
      </w:r>
      <w:r>
        <w:rPr>
          <w:rFonts w:hint="eastAsia" w:asciiTheme="minorEastAsia" w:hAnsiTheme="minorEastAsia" w:eastAsiaTheme="minorEastAsia"/>
          <w:sz w:val="32"/>
          <w:szCs w:val="32"/>
          <w:lang w:eastAsia="zh-CN"/>
        </w:rPr>
        <w:t>劳务费等</w:t>
      </w:r>
      <w:r>
        <w:rPr>
          <w:rFonts w:hint="eastAsia" w:asciiTheme="minorEastAsia" w:hAnsiTheme="minorEastAsia" w:eastAsiaTheme="minorEastAsia"/>
          <w:sz w:val="32"/>
          <w:szCs w:val="32"/>
        </w:rPr>
        <w:t>。</w:t>
      </w:r>
    </w:p>
    <w:p>
      <w:pPr>
        <w:pStyle w:val="14"/>
        <w:rPr>
          <w:rFonts w:hAnsi="黑体"/>
          <w:b/>
          <w:sz w:val="32"/>
          <w:szCs w:val="32"/>
        </w:rPr>
      </w:pPr>
      <w:r>
        <w:rPr>
          <w:rFonts w:hint="eastAsia" w:hAnsi="黑体"/>
          <w:b/>
          <w:sz w:val="32"/>
          <w:szCs w:val="32"/>
        </w:rPr>
        <w:t>七、一般公共预算财政拨款三公经费支出决算情况说明</w:t>
      </w:r>
    </w:p>
    <w:p>
      <w:pPr>
        <w:pStyle w:val="14"/>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w:t>
      </w:r>
      <w:r>
        <w:rPr>
          <w:rFonts w:hint="eastAsia" w:asciiTheme="minorEastAsia" w:hAnsiTheme="minorEastAsia" w:eastAsiaTheme="minorEastAsia"/>
          <w:sz w:val="32"/>
          <w:szCs w:val="32"/>
          <w:lang w:val="en-US" w:eastAsia="zh-CN"/>
        </w:rPr>
        <w:t>65.58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20.47</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31.21</w:t>
      </w:r>
      <w:r>
        <w:rPr>
          <w:rFonts w:hint="eastAsia" w:asciiTheme="minorEastAsia" w:hAnsiTheme="minorEastAsia" w:eastAsiaTheme="minorEastAsia"/>
          <w:sz w:val="32"/>
          <w:szCs w:val="32"/>
        </w:rPr>
        <w:t>%，其中：</w:t>
      </w:r>
    </w:p>
    <w:p>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49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12.96</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26.45</w:t>
      </w:r>
      <w:r>
        <w:rPr>
          <w:rFonts w:hint="eastAsia" w:asciiTheme="minorEastAsia" w:hAnsiTheme="minorEastAsia" w:eastAsiaTheme="minorEastAsia"/>
          <w:sz w:val="32"/>
          <w:szCs w:val="32"/>
        </w:rPr>
        <w:t>%，决算数小于预算数的主要原因是减少的原因是本单位严格执行中央、省市厉行节约的各项规定，加强内部监督管理，与上年相比减少</w:t>
      </w:r>
      <w:r>
        <w:rPr>
          <w:rFonts w:hint="eastAsia" w:asciiTheme="minorEastAsia" w:hAnsiTheme="minorEastAsia" w:eastAsiaTheme="minorEastAsia"/>
          <w:sz w:val="32"/>
          <w:szCs w:val="32"/>
          <w:lang w:val="en-US" w:eastAsia="zh-CN"/>
        </w:rPr>
        <w:t>3.24</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%,减少的主要原因是本单位严格执行中央、省市厉行节约的各项规定，加强内部监督管理。</w:t>
      </w:r>
    </w:p>
    <w:p>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w:t>
      </w:r>
      <w:r>
        <w:rPr>
          <w:rFonts w:hint="eastAsia" w:asciiTheme="minorEastAsia" w:hAnsiTheme="minorEastAsia" w:eastAsiaTheme="minorEastAsia"/>
          <w:sz w:val="32"/>
          <w:szCs w:val="32"/>
          <w:lang w:val="en-US" w:eastAsia="zh-CN"/>
        </w:rPr>
        <w:t>16.58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7.51</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45.30</w:t>
      </w:r>
      <w:r>
        <w:rPr>
          <w:rFonts w:hint="eastAsia" w:asciiTheme="minorEastAsia" w:hAnsiTheme="minorEastAsia" w:eastAsiaTheme="minorEastAsia"/>
          <w:sz w:val="32"/>
          <w:szCs w:val="32"/>
        </w:rPr>
        <w:t>%，决算数小于预算数的主要原因是本单位严格执行中央、省市厉行节约的各项规定，加强内部监督管理，与上年相比减少</w:t>
      </w:r>
      <w:r>
        <w:rPr>
          <w:rFonts w:hint="eastAsia" w:asciiTheme="minorEastAsia" w:hAnsiTheme="minorEastAsia" w:eastAsiaTheme="minorEastAsia"/>
          <w:sz w:val="32"/>
          <w:szCs w:val="32"/>
          <w:lang w:val="en-US" w:eastAsia="zh-CN"/>
        </w:rPr>
        <w:t>1.88</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%,减少的主要原因是本单位严格执行中央、省市厉行节约的各项规定，加强内部监督管理。</w:t>
      </w:r>
    </w:p>
    <w:p>
      <w:pPr>
        <w:pStyle w:val="14"/>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w:t>
      </w:r>
      <w:r>
        <w:rPr>
          <w:rFonts w:hint="eastAsia" w:asciiTheme="minorEastAsia" w:hAnsiTheme="minorEastAsia" w:eastAsiaTheme="minorEastAsia"/>
          <w:sz w:val="32"/>
          <w:szCs w:val="32"/>
          <w:lang w:val="en-US" w:eastAsia="zh-CN"/>
        </w:rPr>
        <w:t>12.96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63.31</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万元,公务用车购置费及运行维护费支出决算</w:t>
      </w:r>
      <w:r>
        <w:rPr>
          <w:rFonts w:hint="eastAsia" w:asciiTheme="minorEastAsia" w:hAnsiTheme="minorEastAsia" w:eastAsiaTheme="minorEastAsia"/>
          <w:sz w:val="32"/>
          <w:szCs w:val="32"/>
          <w:lang w:val="en-US" w:eastAsia="zh-CN"/>
        </w:rPr>
        <w:t>7.51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36.69</w:t>
      </w:r>
      <w:r>
        <w:rPr>
          <w:rFonts w:hint="eastAsia" w:asciiTheme="minorEastAsia" w:hAnsiTheme="minorEastAsia" w:eastAsiaTheme="minorEastAsia"/>
          <w:sz w:val="32"/>
          <w:szCs w:val="32"/>
        </w:rPr>
        <w:t>%。其中：</w:t>
      </w:r>
    </w:p>
    <w:p>
      <w:pPr>
        <w:pStyle w:val="14"/>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次</w:t>
      </w:r>
    </w:p>
    <w:p>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12.96</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191</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1337</w:t>
      </w:r>
      <w:r>
        <w:rPr>
          <w:rFonts w:hint="eastAsia" w:asciiTheme="minorEastAsia" w:hAnsiTheme="minorEastAsia" w:eastAsiaTheme="minorEastAsia"/>
          <w:sz w:val="32"/>
          <w:szCs w:val="32"/>
        </w:rPr>
        <w:t>人次，主要是</w:t>
      </w:r>
      <w:r>
        <w:rPr>
          <w:rFonts w:hint="eastAsia" w:asciiTheme="minorEastAsia" w:hAnsiTheme="minorEastAsia" w:eastAsiaTheme="minorEastAsia"/>
          <w:sz w:val="32"/>
          <w:szCs w:val="32"/>
          <w:lang w:eastAsia="zh-CN"/>
        </w:rPr>
        <w:t>招商引资活动和上级检查</w:t>
      </w:r>
      <w:r>
        <w:rPr>
          <w:rFonts w:hint="eastAsia" w:asciiTheme="minorEastAsia" w:hAnsiTheme="minorEastAsia" w:eastAsiaTheme="minorEastAsia"/>
          <w:sz w:val="32"/>
          <w:szCs w:val="32"/>
        </w:rPr>
        <w:t>发生的接待支出。</w:t>
      </w:r>
    </w:p>
    <w:p>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7.51</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7.51</w:t>
      </w:r>
      <w:r>
        <w:rPr>
          <w:rFonts w:hint="eastAsia" w:asciiTheme="minorEastAsia" w:hAnsiTheme="minorEastAsia"/>
          <w:sz w:val="32"/>
          <w:szCs w:val="32"/>
        </w:rPr>
        <w:t>万元，主要是</w:t>
      </w:r>
      <w:r>
        <w:rPr>
          <w:rFonts w:hint="eastAsia" w:asciiTheme="minorEastAsia" w:hAnsiTheme="minorEastAsia"/>
          <w:sz w:val="32"/>
          <w:szCs w:val="32"/>
          <w:lang w:eastAsia="zh-CN"/>
        </w:rPr>
        <w:t>公车加油、维修和车辆保险等</w:t>
      </w:r>
      <w:r>
        <w:rPr>
          <w:rFonts w:hint="eastAsia" w:asciiTheme="minorEastAsia" w:hAnsiTheme="minorEastAsia"/>
          <w:sz w:val="32"/>
          <w:szCs w:val="32"/>
        </w:rPr>
        <w:t>支出，截止2020年12月31日，我单位开支财政拨款的公务用车保有量为</w:t>
      </w:r>
      <w:r>
        <w:rPr>
          <w:rFonts w:hint="eastAsia" w:asciiTheme="minorEastAsia" w:hAnsiTheme="minorEastAsia"/>
          <w:sz w:val="32"/>
          <w:szCs w:val="32"/>
          <w:lang w:val="en-US" w:eastAsia="zh-CN"/>
        </w:rPr>
        <w:t>3</w:t>
      </w:r>
      <w:r>
        <w:rPr>
          <w:rFonts w:hint="eastAsia" w:asciiTheme="minorEastAsia" w:hAnsiTheme="minorEastAsia"/>
          <w:sz w:val="32"/>
          <w:szCs w:val="32"/>
        </w:rPr>
        <w:t>辆。</w:t>
      </w:r>
    </w:p>
    <w:p>
      <w:pPr>
        <w:pStyle w:val="14"/>
        <w:rPr>
          <w:rFonts w:hAnsi="黑体"/>
          <w:b/>
          <w:sz w:val="32"/>
          <w:szCs w:val="32"/>
        </w:rPr>
      </w:pPr>
      <w:r>
        <w:rPr>
          <w:rFonts w:hint="eastAsia" w:hAnsi="黑体"/>
          <w:b/>
          <w:sz w:val="32"/>
          <w:szCs w:val="32"/>
        </w:rPr>
        <w:t>八、政府性基金预算收入支出决算情况</w:t>
      </w:r>
    </w:p>
    <w:p>
      <w:pPr>
        <w:pStyle w:val="14"/>
        <w:rPr>
          <w:rFonts w:hint="eastAsia" w:asciiTheme="minorEastAsia" w:hAnsiTheme="minorEastAsia" w:eastAsiaTheme="minorEastAsia"/>
          <w:i/>
          <w:color w:val="auto"/>
          <w:sz w:val="32"/>
          <w:szCs w:val="32"/>
          <w:lang w:val="en-US" w:eastAsia="zh-CN"/>
        </w:rPr>
      </w:pPr>
      <w:r>
        <w:rPr>
          <w:rFonts w:hint="eastAsia" w:asciiTheme="minorEastAsia" w:hAnsiTheme="minorEastAsia" w:eastAsiaTheme="minorEastAsia"/>
          <w:sz w:val="32"/>
          <w:szCs w:val="32"/>
        </w:rPr>
        <w:t xml:space="preserve">     2020年</w:t>
      </w:r>
      <w:r>
        <w:rPr>
          <w:rFonts w:hint="eastAsia" w:asciiTheme="minorEastAsia" w:hAnsiTheme="minorEastAsia" w:eastAsiaTheme="minorEastAsia"/>
          <w:i/>
          <w:color w:val="auto"/>
          <w:sz w:val="32"/>
          <w:szCs w:val="32"/>
        </w:rPr>
        <w:t>本单位无政府性基金收支</w:t>
      </w:r>
      <w:r>
        <w:rPr>
          <w:rFonts w:hint="eastAsia" w:asciiTheme="minorEastAsia" w:hAnsiTheme="minorEastAsia" w:eastAsiaTheme="minorEastAsia"/>
          <w:i/>
          <w:color w:val="auto"/>
          <w:sz w:val="32"/>
          <w:szCs w:val="32"/>
          <w:lang w:eastAsia="zh-CN"/>
        </w:rPr>
        <w:t>。</w:t>
      </w:r>
      <w:bookmarkStart w:id="0" w:name="_GoBack"/>
      <w:bookmarkEnd w:id="0"/>
    </w:p>
    <w:p>
      <w:pPr>
        <w:pStyle w:val="14"/>
        <w:rPr>
          <w:rFonts w:hAnsi="黑体"/>
          <w:b/>
          <w:sz w:val="32"/>
          <w:szCs w:val="32"/>
        </w:rPr>
      </w:pPr>
      <w:r>
        <w:rPr>
          <w:rFonts w:hint="eastAsia" w:hAnsi="黑体"/>
          <w:b/>
          <w:sz w:val="32"/>
          <w:szCs w:val="32"/>
        </w:rPr>
        <w:t>九、关于机关运行经费支出说明</w:t>
      </w:r>
    </w:p>
    <w:p>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本部门2020年度机关运行经费支出</w:t>
      </w:r>
      <w:r>
        <w:rPr>
          <w:rFonts w:hint="eastAsia" w:asciiTheme="minorEastAsia" w:hAnsiTheme="minorEastAsia" w:eastAsiaTheme="minorEastAsia"/>
          <w:sz w:val="32"/>
          <w:szCs w:val="32"/>
          <w:lang w:val="en-US" w:eastAsia="zh-CN"/>
        </w:rPr>
        <w:t>365.57</w:t>
      </w:r>
      <w:r>
        <w:rPr>
          <w:rFonts w:hint="eastAsia" w:asciiTheme="minorEastAsia" w:hAnsiTheme="minorEastAsia" w:eastAsiaTheme="minorEastAsia"/>
          <w:sz w:val="32"/>
          <w:szCs w:val="32"/>
        </w:rPr>
        <w:t>万元，比上年减少</w:t>
      </w:r>
      <w:r>
        <w:rPr>
          <w:rFonts w:hint="eastAsia" w:asciiTheme="minorEastAsia" w:hAnsiTheme="minorEastAsia" w:eastAsiaTheme="minorEastAsia"/>
          <w:sz w:val="32"/>
          <w:szCs w:val="32"/>
          <w:lang w:val="en-US" w:eastAsia="zh-CN"/>
        </w:rPr>
        <w:t>218.09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减少</w:t>
      </w:r>
      <w:r>
        <w:rPr>
          <w:rFonts w:hint="eastAsia" w:asciiTheme="minorEastAsia" w:hAnsiTheme="minorEastAsia" w:eastAsiaTheme="minorEastAsia"/>
          <w:sz w:val="32"/>
          <w:szCs w:val="32"/>
          <w:lang w:val="en-US" w:eastAsia="zh-CN"/>
        </w:rPr>
        <w:t>37.37%，主要原因是由于机构合并，人员减少，相关经费减少；根据要求，继续压减一般性支出经费。</w:t>
      </w:r>
    </w:p>
    <w:p>
      <w:pPr>
        <w:pStyle w:val="14"/>
        <w:rPr>
          <w:rFonts w:hAnsi="黑体"/>
          <w:b/>
          <w:sz w:val="32"/>
          <w:szCs w:val="32"/>
        </w:rPr>
      </w:pPr>
      <w:r>
        <w:rPr>
          <w:rFonts w:hint="eastAsia" w:hAnsi="黑体"/>
          <w:b/>
          <w:sz w:val="32"/>
          <w:szCs w:val="32"/>
        </w:rPr>
        <w:t>十、一般性支出情况</w:t>
      </w:r>
    </w:p>
    <w:p>
      <w:pPr>
        <w:pStyle w:val="14"/>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2020年本部门开支会议费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万元；开支培训费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p>
    <w:p>
      <w:pPr>
        <w:pStyle w:val="14"/>
        <w:rPr>
          <w:rFonts w:hAnsi="黑体"/>
          <w:b/>
          <w:sz w:val="32"/>
          <w:szCs w:val="32"/>
        </w:rPr>
      </w:pPr>
      <w:r>
        <w:rPr>
          <w:rFonts w:hint="eastAsia" w:hAnsi="黑体"/>
          <w:b/>
          <w:sz w:val="32"/>
          <w:szCs w:val="32"/>
        </w:rPr>
        <w:t>十一、关于政府采购支出说明</w:t>
      </w:r>
    </w:p>
    <w:p>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w:t>
      </w:r>
      <w:r>
        <w:rPr>
          <w:rFonts w:hint="eastAsia" w:asciiTheme="minorEastAsia" w:hAnsiTheme="minorEastAsia" w:eastAsiaTheme="minorEastAsia"/>
          <w:sz w:val="32"/>
          <w:szCs w:val="32"/>
          <w:lang w:val="en-US" w:eastAsia="zh-CN"/>
        </w:rPr>
        <w:t>12.37</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12.37</w:t>
      </w:r>
      <w:r>
        <w:rPr>
          <w:rFonts w:hint="eastAsia" w:asciiTheme="minorEastAsia" w:hAnsiTheme="minorEastAsia" w:eastAsiaTheme="minorEastAsia"/>
          <w:sz w:val="32"/>
          <w:szCs w:val="32"/>
        </w:rPr>
        <w:t xml:space="preserve"> 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pPr>
        <w:pStyle w:val="14"/>
        <w:rPr>
          <w:rFonts w:hAnsi="黑体"/>
          <w:b/>
          <w:sz w:val="32"/>
          <w:szCs w:val="32"/>
        </w:rPr>
      </w:pPr>
      <w:r>
        <w:rPr>
          <w:rFonts w:hint="eastAsia" w:hAnsi="黑体"/>
          <w:b/>
          <w:sz w:val="32"/>
          <w:szCs w:val="32"/>
        </w:rPr>
        <w:t>十二、关于国有资产占用情况说明</w:t>
      </w:r>
    </w:p>
    <w:p>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辆，其他用车主要是</w:t>
      </w:r>
      <w:r>
        <w:rPr>
          <w:rFonts w:hint="eastAsia" w:asciiTheme="minorEastAsia" w:hAnsiTheme="minorEastAsia" w:eastAsiaTheme="minorEastAsia"/>
          <w:sz w:val="32"/>
          <w:szCs w:val="32"/>
          <w:lang w:eastAsia="zh-CN"/>
        </w:rPr>
        <w:t>公务接待用车</w:t>
      </w:r>
      <w:r>
        <w:rPr>
          <w:rFonts w:hint="eastAsia" w:asciiTheme="minorEastAsia" w:hAnsiTheme="minorEastAsia" w:eastAsiaTheme="minorEastAsia"/>
          <w:sz w:val="32"/>
          <w:szCs w:val="32"/>
        </w:rPr>
        <w:t>；单位价值50万元以上通用设备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pPr>
        <w:pStyle w:val="14"/>
        <w:rPr>
          <w:rFonts w:hAnsi="黑体"/>
          <w:b/>
          <w:sz w:val="32"/>
          <w:szCs w:val="32"/>
        </w:rPr>
      </w:pPr>
      <w:r>
        <w:rPr>
          <w:rFonts w:hint="eastAsia" w:hAnsi="黑体"/>
          <w:b/>
          <w:sz w:val="32"/>
          <w:szCs w:val="32"/>
        </w:rPr>
        <w:t>十三、关于2020年度预算绩效情况的说明</w:t>
      </w:r>
    </w:p>
    <w:p>
      <w:pPr>
        <w:pStyle w:val="14"/>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本部门预算绩效管理开展情况、绩效目标和绩效评价报告等按照财政绩效部门要求已作为附件公开</w:t>
      </w:r>
      <w:r>
        <w:rPr>
          <w:rFonts w:hint="eastAsia" w:asciiTheme="minorEastAsia" w:hAnsiTheme="minorEastAsia" w:eastAsiaTheme="minorEastAsia"/>
          <w:sz w:val="32"/>
          <w:szCs w:val="32"/>
          <w:lang w:eastAsia="zh-CN"/>
        </w:rPr>
        <w:t>。</w:t>
      </w:r>
    </w:p>
    <w:p>
      <w:pPr>
        <w:pStyle w:val="14"/>
        <w:rPr>
          <w:rFonts w:hAnsi="黑体"/>
          <w:b/>
          <w:sz w:val="32"/>
          <w:szCs w:val="3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hint="eastAsia"/>
          <w:b/>
          <w:color w:val="000000"/>
          <w:sz w:val="28"/>
          <w:szCs w:val="28"/>
        </w:rPr>
      </w:pPr>
    </w:p>
    <w:p>
      <w:pPr>
        <w:widowControl/>
        <w:jc w:val="left"/>
        <w:rPr>
          <w:rFonts w:hint="eastAsia"/>
          <w:color w:val="000000"/>
          <w:sz w:val="28"/>
          <w:szCs w:val="28"/>
        </w:rPr>
      </w:pPr>
      <w:r>
        <w:rPr>
          <w:rFonts w:hint="eastAsia"/>
          <w:b/>
          <w:color w:val="000000"/>
          <w:sz w:val="28"/>
          <w:szCs w:val="28"/>
        </w:rPr>
        <w:t>一、财政拨款收入：</w:t>
      </w:r>
      <w:r>
        <w:rPr>
          <w:rFonts w:hint="eastAsia"/>
          <w:color w:val="000000"/>
          <w:sz w:val="28"/>
          <w:szCs w:val="28"/>
        </w:rPr>
        <w:t>指单位本年度从市级财政部门取得的财政拨款。</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二、上级补助收入：</w:t>
      </w:r>
      <w:r>
        <w:rPr>
          <w:rFonts w:hint="eastAsia"/>
          <w:color w:val="000000"/>
          <w:sz w:val="28"/>
          <w:szCs w:val="28"/>
        </w:rPr>
        <w:t>指事业单位从主管部门和上级单位取得的非财政补助收入。</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三、事业收入：</w:t>
      </w:r>
      <w:r>
        <w:rPr>
          <w:rFonts w:hint="eastAsia"/>
          <w:color w:val="000000"/>
          <w:sz w:val="28"/>
          <w:szCs w:val="28"/>
        </w:rPr>
        <w:t>指事业单位开展专业业务活动及其辅助活动取得的收入，事业单位收到的财政专户实际核拨的教育收费等资金在此反映。</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四、经营收入：</w:t>
      </w:r>
      <w:r>
        <w:rPr>
          <w:rFonts w:hint="eastAsia"/>
          <w:color w:val="000000"/>
          <w:sz w:val="28"/>
          <w:szCs w:val="28"/>
        </w:rPr>
        <w:t>指事业单位在专业业务活动及其辅助活动之外开展非独立核算经营活动取得的收入。</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五、附属单位缴款：</w:t>
      </w:r>
      <w:r>
        <w:rPr>
          <w:rFonts w:hint="eastAsia"/>
          <w:color w:val="000000"/>
          <w:sz w:val="28"/>
          <w:szCs w:val="28"/>
        </w:rPr>
        <w:t>指事业单位附属独立核算单位按照有关规定上缴的收入。</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六、其他收入：</w:t>
      </w:r>
      <w:r>
        <w:rPr>
          <w:rFonts w:hint="eastAsia"/>
          <w:color w:val="000000"/>
          <w:sz w:val="28"/>
          <w:szCs w:val="28"/>
        </w:rPr>
        <w:t>指单位取得的除上述“财政拨款收入”、“事业收入”、“经营收入”等以外的各项收入。</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七、用事业基金弥补收支差额：</w:t>
      </w:r>
      <w:r>
        <w:rPr>
          <w:rFonts w:hint="eastAsia"/>
          <w:color w:val="000000"/>
          <w:sz w:val="28"/>
          <w:szCs w:val="28"/>
        </w:rPr>
        <w:t>指事业单位用事业基金弥补当年收支差额的数额。</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八、年初结转和结余：</w:t>
      </w:r>
      <w:r>
        <w:rPr>
          <w:rFonts w:hint="eastAsia"/>
          <w:color w:val="000000"/>
          <w:sz w:val="28"/>
          <w:szCs w:val="28"/>
        </w:rPr>
        <w:t>指单位上年结转本年使用的基本支出结转、项目支出结转和结余和经营结余。</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九、一般公共服务（类）人大事务（款）行政运行（项）：</w:t>
      </w:r>
      <w:r>
        <w:rPr>
          <w:rFonts w:hint="eastAsia"/>
          <w:color w:val="000000"/>
          <w:sz w:val="28"/>
          <w:szCs w:val="28"/>
        </w:rPr>
        <w:t>指人大常委会办公厅用于保障机构正常运行、开展日常工作的基本支出。</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十、结余分配：</w:t>
      </w:r>
      <w:r>
        <w:rPr>
          <w:rFonts w:hint="eastAsia"/>
          <w:color w:val="000000"/>
          <w:sz w:val="28"/>
          <w:szCs w:val="28"/>
        </w:rPr>
        <w:t>指事业单位按规定对非财政补助结余资金提取的职工福利基金、事业基金和缴纳的所得税，以及减少单位按规定应缴回的基本建设竣工项目结余资金。</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十一、年末结转和结余资金：</w:t>
      </w:r>
      <w:r>
        <w:rPr>
          <w:rFonts w:hint="eastAsia"/>
          <w:color w:val="000000"/>
          <w:sz w:val="28"/>
          <w:szCs w:val="28"/>
        </w:rPr>
        <w:t>指本年度或以前年度预算安排、因客观条件发生变化无法按原计划实施，需要延迟到以后年度按有关规定继续使用的资金。</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十二、基本支出：</w:t>
      </w:r>
      <w:r>
        <w:rPr>
          <w:rFonts w:hint="eastAsia"/>
          <w:color w:val="000000"/>
          <w:sz w:val="28"/>
          <w:szCs w:val="28"/>
        </w:rPr>
        <w:t>指为保障机构正常运转、完成日常工作任务而发生的人员支出和公用支出。</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十三、项目支出：</w:t>
      </w:r>
      <w:r>
        <w:rPr>
          <w:rFonts w:hint="eastAsia"/>
          <w:color w:val="000000"/>
          <w:sz w:val="28"/>
          <w:szCs w:val="28"/>
        </w:rPr>
        <w:t>指在基本支出之外为完成特定的行政任务或事业发展目标所发生的支出。</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十四、上缴上级支出：</w:t>
      </w:r>
      <w:r>
        <w:rPr>
          <w:rFonts w:hint="eastAsia"/>
          <w:color w:val="000000"/>
          <w:sz w:val="28"/>
          <w:szCs w:val="28"/>
        </w:rPr>
        <w:t>指事业单位按照财政部门和主管部门的规定上缴上级单位的支出。</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十五、经营支出：</w:t>
      </w:r>
      <w:r>
        <w:rPr>
          <w:rFonts w:hint="eastAsia"/>
          <w:color w:val="000000"/>
          <w:sz w:val="28"/>
          <w:szCs w:val="28"/>
        </w:rPr>
        <w:t>指事业单位在专业业务活动及其辅助活动之外开展非独立核算经营活动发生的支出。</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十六、对附属单位补助支出：</w:t>
      </w:r>
      <w:r>
        <w:rPr>
          <w:rFonts w:hint="eastAsia"/>
          <w:color w:val="000000"/>
          <w:sz w:val="28"/>
          <w:szCs w:val="28"/>
        </w:rPr>
        <w:t>指事业单位用财政补助收入之外的收入对附属单位补助发生的支出。</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十七、“三公”经费：</w:t>
      </w:r>
      <w:r>
        <w:rPr>
          <w:rFonts w:hint="eastAsia"/>
          <w:color w:val="000000"/>
          <w:sz w:val="28"/>
          <w:szCs w:val="28"/>
        </w:rPr>
        <w:t>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8"/>
        <w:spacing w:before="105" w:beforeAutospacing="0" w:after="105" w:afterAutospacing="0" w:line="30" w:lineRule="atLeast"/>
        <w:ind w:firstLine="420"/>
        <w:textAlignment w:val="baseline"/>
        <w:rPr>
          <w:rFonts w:hint="eastAsia"/>
          <w:color w:val="000000"/>
          <w:sz w:val="28"/>
          <w:szCs w:val="28"/>
        </w:rPr>
      </w:pPr>
      <w:r>
        <w:rPr>
          <w:rFonts w:hint="eastAsia"/>
          <w:b/>
          <w:color w:val="000000"/>
          <w:sz w:val="28"/>
          <w:szCs w:val="28"/>
        </w:rPr>
        <w:t>十八、机关运行经费：</w:t>
      </w:r>
      <w:r>
        <w:rPr>
          <w:rFonts w:hint="eastAsia"/>
          <w:color w:val="000000"/>
          <w:sz w:val="28"/>
          <w:szCs w:val="28"/>
        </w:rPr>
        <w:t>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pPr>
        <w:spacing w:line="600" w:lineRule="exact"/>
        <w:rPr>
          <w:rFonts w:ascii="Times New Roman" w:hAnsi="Times New Roman" w:eastAsia="黑体" w:cs="Times New Roman"/>
          <w:sz w:val="28"/>
          <w:szCs w:val="28"/>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rFonts w:hint="eastAsia"/>
          <w:sz w:val="72"/>
          <w:szCs w:val="72"/>
        </w:rPr>
      </w:pPr>
    </w:p>
    <w:p>
      <w:pPr>
        <w:pStyle w:val="14"/>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hint="eastAsia" w:cs="黑体" w:asciiTheme="minorEastAsia" w:hAnsiTheme="minorEastAsia"/>
          <w:b/>
          <w:color w:val="000000"/>
          <w:kern w:val="0"/>
          <w:sz w:val="32"/>
          <w:szCs w:val="32"/>
        </w:rPr>
      </w:pPr>
    </w:p>
    <w:p>
      <w:pPr>
        <w:widowControl/>
        <w:jc w:val="left"/>
        <w:rPr>
          <w:rFonts w:hint="eastAsia" w:cs="黑体" w:asciiTheme="minorEastAsia" w:hAnsiTheme="minorEastAsia"/>
          <w:b/>
          <w:color w:val="000000"/>
          <w:kern w:val="0"/>
          <w:sz w:val="32"/>
          <w:szCs w:val="32"/>
        </w:rPr>
      </w:pPr>
    </w:p>
    <w:p>
      <w:pPr>
        <w:widowControl/>
        <w:jc w:val="left"/>
        <w:rPr>
          <w:rFonts w:hint="eastAsia" w:cs="黑体" w:asciiTheme="minorEastAsia" w:hAnsiTheme="minorEastAsia"/>
          <w:b/>
          <w:color w:val="000000"/>
          <w:kern w:val="0"/>
          <w:sz w:val="32"/>
          <w:szCs w:val="32"/>
        </w:rPr>
      </w:pPr>
    </w:p>
    <w:p>
      <w:pPr>
        <w:widowControl/>
        <w:ind w:firstLine="2249" w:firstLineChars="7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2020年度部门整体支出绩效评价报告</w:t>
      </w:r>
    </w:p>
    <w:p>
      <w:pPr>
        <w:ind w:firstLine="640" w:firstLineChars="200"/>
        <w:jc w:val="left"/>
        <w:rPr>
          <w:rFonts w:cs="黑体" w:asciiTheme="minorEastAsia" w:hAnsiTheme="minorEastAsia"/>
          <w:color w:val="000000"/>
          <w:kern w:val="0"/>
          <w:sz w:val="32"/>
          <w:szCs w:val="32"/>
        </w:rPr>
      </w:pPr>
    </w:p>
    <w:p>
      <w:pPr>
        <w:pStyle w:val="2"/>
        <w:rPr>
          <w:rFonts w:cs="黑体" w:asciiTheme="minorEastAsia" w:hAnsiTheme="minorEastAsia"/>
          <w:color w:val="000000"/>
          <w:kern w:val="0"/>
          <w:sz w:val="32"/>
          <w:szCs w:val="32"/>
        </w:rPr>
      </w:pPr>
    </w:p>
    <w:p>
      <w:pPr>
        <w:pStyle w:val="3"/>
        <w:rPr>
          <w:rFonts w:cs="黑体" w:asciiTheme="minorEastAsia" w:hAnsiTheme="minorEastAsia"/>
          <w:color w:val="000000"/>
          <w:kern w:val="0"/>
          <w:sz w:val="32"/>
          <w:szCs w:val="32"/>
        </w:rPr>
      </w:pPr>
    </w:p>
    <w:p>
      <w:pPr>
        <w:pStyle w:val="4"/>
        <w:rPr>
          <w:rFonts w:cs="黑体" w:asciiTheme="minorEastAsia" w:hAnsiTheme="minorEastAsia"/>
          <w:color w:val="000000"/>
          <w:kern w:val="0"/>
          <w:sz w:val="32"/>
          <w:szCs w:val="32"/>
        </w:rPr>
      </w:pPr>
    </w:p>
    <w:p>
      <w:pPr>
        <w:rPr>
          <w:rFonts w:cs="黑体" w:asciiTheme="minorEastAsia" w:hAnsiTheme="minorEastAsia"/>
          <w:color w:val="000000"/>
          <w:kern w:val="0"/>
          <w:sz w:val="32"/>
          <w:szCs w:val="32"/>
        </w:rPr>
      </w:pPr>
    </w:p>
    <w:p>
      <w:pPr>
        <w:pStyle w:val="2"/>
        <w:rPr>
          <w:rFonts w:cs="黑体" w:asciiTheme="minorEastAsia" w:hAnsiTheme="minorEastAsia"/>
          <w:color w:val="000000"/>
          <w:kern w:val="0"/>
          <w:sz w:val="32"/>
          <w:szCs w:val="32"/>
        </w:rPr>
      </w:pPr>
    </w:p>
    <w:p>
      <w:pPr>
        <w:pStyle w:val="3"/>
        <w:rPr>
          <w:rFonts w:cs="黑体" w:asciiTheme="minorEastAsia" w:hAnsiTheme="minorEastAsia"/>
          <w:color w:val="000000"/>
          <w:kern w:val="0"/>
          <w:sz w:val="32"/>
          <w:szCs w:val="32"/>
        </w:rPr>
      </w:pPr>
    </w:p>
    <w:p>
      <w:pPr>
        <w:pStyle w:val="4"/>
        <w:rPr>
          <w:rFonts w:cs="黑体" w:asciiTheme="minorEastAsia" w:hAnsiTheme="minorEastAsia"/>
          <w:color w:val="000000"/>
          <w:kern w:val="0"/>
          <w:sz w:val="32"/>
          <w:szCs w:val="32"/>
        </w:rPr>
      </w:pPr>
    </w:p>
    <w:p>
      <w:pPr>
        <w:rPr>
          <w:rFonts w:cs="黑体" w:asciiTheme="minorEastAsia" w:hAnsiTheme="minorEastAsia"/>
          <w:color w:val="000000"/>
          <w:kern w:val="0"/>
          <w:sz w:val="32"/>
          <w:szCs w:val="32"/>
        </w:rPr>
      </w:pPr>
    </w:p>
    <w:p>
      <w:pPr>
        <w:pStyle w:val="2"/>
        <w:rPr>
          <w:rFonts w:cs="黑体" w:asciiTheme="minorEastAsia" w:hAnsiTheme="minorEastAsia"/>
          <w:color w:val="000000"/>
          <w:kern w:val="0"/>
          <w:sz w:val="32"/>
          <w:szCs w:val="32"/>
        </w:rPr>
      </w:pPr>
    </w:p>
    <w:p>
      <w:pPr>
        <w:widowControl/>
        <w:spacing w:line="480" w:lineRule="auto"/>
        <w:jc w:val="center"/>
        <w:rPr>
          <w:rFonts w:hint="eastAsia" w:ascii="黑体" w:eastAsia="黑体" w:cs="宋体"/>
          <w:kern w:val="0"/>
          <w:sz w:val="32"/>
          <w:szCs w:val="32"/>
        </w:rPr>
      </w:pPr>
    </w:p>
    <w:p>
      <w:pPr>
        <w:widowControl/>
        <w:spacing w:line="480" w:lineRule="auto"/>
        <w:jc w:val="center"/>
        <w:rPr>
          <w:rFonts w:hint="eastAsia" w:ascii="黑体" w:eastAsia="黑体" w:cs="宋体"/>
          <w:kern w:val="0"/>
          <w:sz w:val="32"/>
          <w:szCs w:val="32"/>
        </w:rPr>
      </w:pPr>
    </w:p>
    <w:p>
      <w:pPr>
        <w:widowControl/>
        <w:spacing w:line="480" w:lineRule="auto"/>
        <w:jc w:val="center"/>
        <w:rPr>
          <w:rFonts w:hint="eastAsia" w:ascii="黑体" w:eastAsia="黑体" w:cs="宋体"/>
          <w:kern w:val="0"/>
          <w:sz w:val="32"/>
          <w:szCs w:val="32"/>
        </w:rPr>
      </w:pPr>
    </w:p>
    <w:p>
      <w:pPr>
        <w:widowControl/>
        <w:spacing w:line="480" w:lineRule="auto"/>
        <w:jc w:val="center"/>
        <w:rPr>
          <w:rFonts w:hint="eastAsia" w:ascii="黑体" w:eastAsia="黑体" w:cs="宋体"/>
          <w:kern w:val="0"/>
          <w:sz w:val="32"/>
          <w:szCs w:val="32"/>
        </w:rPr>
      </w:pPr>
    </w:p>
    <w:p>
      <w:pPr>
        <w:widowControl/>
        <w:spacing w:line="480" w:lineRule="auto"/>
        <w:jc w:val="center"/>
        <w:rPr>
          <w:rFonts w:hint="eastAsia" w:ascii="黑体" w:eastAsia="黑体" w:cs="宋体"/>
          <w:kern w:val="0"/>
          <w:sz w:val="32"/>
          <w:szCs w:val="32"/>
        </w:rPr>
      </w:pPr>
    </w:p>
    <w:p>
      <w:pPr>
        <w:widowControl/>
        <w:spacing w:line="480" w:lineRule="auto"/>
        <w:jc w:val="center"/>
        <w:rPr>
          <w:rFonts w:hint="eastAsia" w:ascii="黑体" w:eastAsia="黑体" w:cs="宋体"/>
          <w:kern w:val="0"/>
          <w:sz w:val="32"/>
          <w:szCs w:val="32"/>
        </w:rPr>
      </w:pPr>
    </w:p>
    <w:p>
      <w:pPr>
        <w:widowControl/>
        <w:spacing w:line="480" w:lineRule="auto"/>
        <w:jc w:val="center"/>
        <w:rPr>
          <w:rFonts w:hint="eastAsia" w:ascii="黑体" w:eastAsia="黑体" w:cs="宋体"/>
          <w:kern w:val="0"/>
          <w:sz w:val="32"/>
          <w:szCs w:val="32"/>
        </w:rPr>
      </w:pPr>
    </w:p>
    <w:p>
      <w:pPr>
        <w:widowControl/>
        <w:spacing w:line="480" w:lineRule="auto"/>
        <w:jc w:val="center"/>
        <w:rPr>
          <w:rFonts w:hint="eastAsia" w:ascii="黑体" w:eastAsia="黑体" w:cs="宋体"/>
          <w:kern w:val="0"/>
          <w:sz w:val="32"/>
          <w:szCs w:val="32"/>
        </w:rPr>
      </w:pPr>
    </w:p>
    <w:p>
      <w:pPr>
        <w:widowControl/>
        <w:spacing w:line="480" w:lineRule="auto"/>
        <w:jc w:val="center"/>
        <w:rPr>
          <w:rFonts w:hint="eastAsia" w:ascii="宋体" w:cs="宋体"/>
          <w:kern w:val="0"/>
          <w:sz w:val="28"/>
          <w:szCs w:val="28"/>
        </w:rPr>
      </w:pPr>
      <w:r>
        <w:rPr>
          <w:rFonts w:hint="eastAsia" w:ascii="黑体" w:eastAsia="黑体" w:cs="宋体"/>
          <w:kern w:val="0"/>
          <w:sz w:val="32"/>
          <w:szCs w:val="32"/>
        </w:rPr>
        <w:t>洪江市部门（单位）整体支出绩效自评报告</w:t>
      </w:r>
    </w:p>
    <w:p>
      <w:pPr>
        <w:widowControl/>
        <w:spacing w:line="480" w:lineRule="auto"/>
        <w:ind w:firstLine="480"/>
        <w:jc w:val="left"/>
        <w:rPr>
          <w:rFonts w:hint="eastAsia" w:ascii="宋体" w:cs="宋体"/>
          <w:kern w:val="0"/>
          <w:sz w:val="28"/>
          <w:szCs w:val="28"/>
        </w:rPr>
      </w:pPr>
    </w:p>
    <w:p>
      <w:pPr>
        <w:widowControl/>
        <w:spacing w:line="480" w:lineRule="auto"/>
        <w:ind w:firstLine="480"/>
        <w:jc w:val="left"/>
        <w:rPr>
          <w:rFonts w:hint="eastAsia" w:ascii="宋体" w:cs="宋体"/>
          <w:kern w:val="0"/>
          <w:sz w:val="28"/>
          <w:szCs w:val="28"/>
        </w:rPr>
      </w:pPr>
    </w:p>
    <w:p>
      <w:pPr>
        <w:widowControl/>
        <w:spacing w:line="480" w:lineRule="auto"/>
        <w:ind w:firstLine="480"/>
        <w:jc w:val="left"/>
        <w:rPr>
          <w:rFonts w:hint="eastAsia" w:ascii="宋体" w:cs="宋体"/>
          <w:kern w:val="0"/>
          <w:sz w:val="28"/>
          <w:szCs w:val="28"/>
        </w:rPr>
      </w:pPr>
    </w:p>
    <w:p>
      <w:pPr>
        <w:widowControl/>
        <w:spacing w:line="480" w:lineRule="auto"/>
        <w:ind w:firstLine="1680" w:firstLineChars="600"/>
        <w:jc w:val="left"/>
        <w:rPr>
          <w:rFonts w:hint="eastAsia" w:ascii="宋体" w:cs="宋体"/>
          <w:kern w:val="0"/>
          <w:sz w:val="28"/>
          <w:szCs w:val="28"/>
        </w:rPr>
      </w:pPr>
      <w:r>
        <w:rPr>
          <w:rFonts w:hint="eastAsia" w:ascii="宋体" w:cs="宋体"/>
          <w:kern w:val="0"/>
          <w:sz w:val="28"/>
          <w:szCs w:val="28"/>
        </w:rPr>
        <w:t>部门(单位)名称</w:t>
      </w:r>
      <w:r>
        <w:rPr>
          <w:rFonts w:hint="eastAsia" w:ascii="宋体" w:cs="宋体"/>
          <w:kern w:val="0"/>
          <w:sz w:val="28"/>
          <w:szCs w:val="28"/>
          <w:u w:val="single"/>
        </w:rPr>
        <w:t xml:space="preserve">： </w:t>
      </w:r>
      <w:r>
        <w:rPr>
          <w:rFonts w:hint="eastAsia" w:ascii="宋体" w:cs="宋体"/>
          <w:kern w:val="0"/>
          <w:sz w:val="28"/>
          <w:szCs w:val="28"/>
          <w:u w:val="single"/>
          <w:lang w:eastAsia="zh-CN"/>
        </w:rPr>
        <w:t>洪江市人民政府办公室</w:t>
      </w:r>
      <w:r>
        <w:rPr>
          <w:rFonts w:hint="eastAsia" w:ascii="宋体" w:cs="宋体"/>
          <w:kern w:val="0"/>
          <w:sz w:val="28"/>
          <w:szCs w:val="28"/>
          <w:u w:val="single"/>
        </w:rPr>
        <w:t xml:space="preserve">   </w:t>
      </w:r>
    </w:p>
    <w:p>
      <w:pPr>
        <w:widowControl/>
        <w:spacing w:line="480" w:lineRule="auto"/>
        <w:ind w:firstLine="1680" w:firstLineChars="600"/>
        <w:jc w:val="left"/>
        <w:rPr>
          <w:rFonts w:hint="eastAsia" w:ascii="宋体" w:cs="宋体"/>
          <w:kern w:val="0"/>
          <w:sz w:val="28"/>
          <w:szCs w:val="28"/>
        </w:rPr>
      </w:pPr>
      <w:r>
        <w:rPr>
          <w:rFonts w:hint="eastAsia" w:ascii="宋体" w:cs="宋体"/>
          <w:kern w:val="0"/>
          <w:sz w:val="28"/>
          <w:szCs w:val="28"/>
        </w:rPr>
        <w:t>预  算  编  码</w:t>
      </w:r>
      <w:r>
        <w:rPr>
          <w:rFonts w:hint="eastAsia" w:ascii="宋体" w:cs="宋体"/>
          <w:kern w:val="0"/>
          <w:sz w:val="28"/>
          <w:szCs w:val="28"/>
          <w:u w:val="single"/>
        </w:rPr>
        <w:t xml:space="preserve">：       </w:t>
      </w:r>
      <w:r>
        <w:rPr>
          <w:rFonts w:hint="eastAsia" w:ascii="宋体" w:cs="宋体"/>
          <w:kern w:val="0"/>
          <w:sz w:val="28"/>
          <w:szCs w:val="28"/>
          <w:u w:val="single"/>
          <w:lang w:val="en-US" w:eastAsia="zh-CN"/>
        </w:rPr>
        <w:t>102</w:t>
      </w:r>
      <w:r>
        <w:rPr>
          <w:rFonts w:hint="eastAsia" w:ascii="宋体" w:cs="宋体"/>
          <w:kern w:val="0"/>
          <w:sz w:val="28"/>
          <w:szCs w:val="28"/>
          <w:u w:val="single"/>
        </w:rPr>
        <w:t xml:space="preserve">              </w:t>
      </w:r>
    </w:p>
    <w:p>
      <w:pPr>
        <w:widowControl/>
        <w:spacing w:line="480" w:lineRule="auto"/>
        <w:ind w:firstLine="1680" w:firstLineChars="600"/>
        <w:jc w:val="left"/>
        <w:rPr>
          <w:rFonts w:hint="eastAsia" w:ascii="宋体" w:cs="宋体"/>
          <w:kern w:val="0"/>
          <w:sz w:val="28"/>
          <w:szCs w:val="28"/>
        </w:rPr>
      </w:pPr>
      <w:r>
        <w:rPr>
          <w:rFonts w:hint="eastAsia" w:ascii="宋体" w:cs="宋体"/>
          <w:kern w:val="0"/>
          <w:sz w:val="28"/>
          <w:szCs w:val="28"/>
        </w:rPr>
        <w:t>评  价  方  式：部门（单位）绩效自评</w:t>
      </w:r>
    </w:p>
    <w:p>
      <w:pPr>
        <w:widowControl/>
        <w:spacing w:line="480" w:lineRule="auto"/>
        <w:ind w:firstLine="1680" w:firstLineChars="600"/>
        <w:jc w:val="left"/>
        <w:rPr>
          <w:rFonts w:hint="eastAsia" w:ascii="宋体" w:cs="宋体"/>
          <w:kern w:val="0"/>
          <w:sz w:val="28"/>
          <w:szCs w:val="28"/>
        </w:rPr>
      </w:pPr>
      <w:r>
        <w:rPr>
          <w:rFonts w:hint="eastAsia" w:ascii="宋体" w:cs="宋体"/>
          <w:kern w:val="0"/>
          <w:sz w:val="28"/>
          <w:szCs w:val="28"/>
        </w:rPr>
        <w:t xml:space="preserve">评  价  机  构：部门（单位）评价组 </w:t>
      </w:r>
    </w:p>
    <w:p>
      <w:pPr>
        <w:widowControl/>
        <w:spacing w:line="480" w:lineRule="auto"/>
        <w:ind w:firstLine="1680" w:firstLineChars="600"/>
        <w:jc w:val="left"/>
        <w:rPr>
          <w:rFonts w:hint="eastAsia" w:ascii="宋体" w:cs="宋体"/>
          <w:kern w:val="0"/>
          <w:sz w:val="28"/>
          <w:szCs w:val="28"/>
        </w:rPr>
      </w:pPr>
      <w:r>
        <w:rPr>
          <w:rFonts w:hint="eastAsia" w:ascii="宋体" w:cs="宋体"/>
          <w:kern w:val="0"/>
          <w:sz w:val="28"/>
          <w:szCs w:val="28"/>
        </w:rPr>
        <w:t xml:space="preserve">报  告  日  期：  </w:t>
      </w:r>
      <w:r>
        <w:rPr>
          <w:rFonts w:hint="eastAsia" w:ascii="宋体" w:cs="宋体"/>
          <w:kern w:val="0"/>
          <w:sz w:val="28"/>
          <w:szCs w:val="28"/>
          <w:lang w:val="en-US" w:eastAsia="zh-CN"/>
        </w:rPr>
        <w:t>2021</w:t>
      </w:r>
      <w:r>
        <w:rPr>
          <w:rFonts w:hint="eastAsia" w:ascii="宋体" w:cs="宋体"/>
          <w:kern w:val="0"/>
          <w:sz w:val="28"/>
          <w:szCs w:val="28"/>
        </w:rPr>
        <w:t xml:space="preserve"> 年  </w:t>
      </w:r>
      <w:r>
        <w:rPr>
          <w:rFonts w:hint="eastAsia" w:ascii="宋体" w:cs="宋体"/>
          <w:kern w:val="0"/>
          <w:sz w:val="28"/>
          <w:szCs w:val="28"/>
          <w:lang w:val="en-US" w:eastAsia="zh-CN"/>
        </w:rPr>
        <w:t>7</w:t>
      </w:r>
      <w:r>
        <w:rPr>
          <w:rFonts w:hint="eastAsia" w:ascii="宋体" w:cs="宋体"/>
          <w:kern w:val="0"/>
          <w:sz w:val="28"/>
          <w:szCs w:val="28"/>
        </w:rPr>
        <w:t xml:space="preserve"> 月 </w:t>
      </w:r>
      <w:r>
        <w:rPr>
          <w:rFonts w:hint="eastAsia" w:ascii="宋体" w:cs="宋体"/>
          <w:kern w:val="0"/>
          <w:sz w:val="28"/>
          <w:szCs w:val="28"/>
          <w:lang w:val="en-US" w:eastAsia="zh-CN"/>
        </w:rPr>
        <w:t>20</w:t>
      </w:r>
      <w:r>
        <w:rPr>
          <w:rFonts w:hint="eastAsia" w:ascii="宋体" w:cs="宋体"/>
          <w:kern w:val="0"/>
          <w:sz w:val="28"/>
          <w:szCs w:val="28"/>
        </w:rPr>
        <w:t xml:space="preserve">  日</w:t>
      </w:r>
    </w:p>
    <w:p>
      <w:pPr>
        <w:widowControl/>
        <w:spacing w:line="480" w:lineRule="auto"/>
        <w:ind w:firstLine="5516" w:firstLineChars="1970"/>
        <w:jc w:val="left"/>
        <w:rPr>
          <w:rFonts w:hint="eastAsia" w:ascii="宋体" w:cs="宋体"/>
          <w:kern w:val="0"/>
          <w:sz w:val="28"/>
          <w:szCs w:val="28"/>
        </w:rPr>
      </w:pPr>
    </w:p>
    <w:p>
      <w:pPr>
        <w:widowControl/>
        <w:spacing w:line="480" w:lineRule="auto"/>
        <w:jc w:val="left"/>
        <w:rPr>
          <w:rFonts w:hint="eastAsia" w:ascii="宋体" w:cs="宋体"/>
          <w:kern w:val="0"/>
          <w:sz w:val="28"/>
          <w:szCs w:val="28"/>
        </w:rPr>
      </w:pPr>
    </w:p>
    <w:p>
      <w:pPr>
        <w:widowControl/>
        <w:spacing w:line="480" w:lineRule="auto"/>
        <w:jc w:val="left"/>
        <w:rPr>
          <w:rFonts w:hint="eastAsia" w:ascii="宋体" w:cs="宋体"/>
          <w:kern w:val="0"/>
          <w:sz w:val="28"/>
          <w:szCs w:val="28"/>
        </w:rPr>
      </w:pPr>
    </w:p>
    <w:p>
      <w:pPr>
        <w:widowControl/>
        <w:spacing w:line="480" w:lineRule="auto"/>
        <w:jc w:val="left"/>
        <w:rPr>
          <w:rFonts w:hint="eastAsia" w:ascii="宋体" w:cs="宋体"/>
          <w:kern w:val="0"/>
          <w:sz w:val="28"/>
          <w:szCs w:val="28"/>
        </w:rPr>
      </w:pPr>
    </w:p>
    <w:p>
      <w:pPr>
        <w:widowControl/>
        <w:spacing w:line="480" w:lineRule="auto"/>
        <w:jc w:val="left"/>
        <w:rPr>
          <w:rFonts w:hint="eastAsia" w:ascii="宋体" w:cs="宋体"/>
          <w:kern w:val="0"/>
          <w:sz w:val="28"/>
          <w:szCs w:val="28"/>
        </w:rPr>
      </w:pPr>
    </w:p>
    <w:p>
      <w:pPr>
        <w:widowControl/>
        <w:spacing w:line="480" w:lineRule="auto"/>
        <w:jc w:val="left"/>
        <w:rPr>
          <w:rFonts w:hint="eastAsia" w:ascii="宋体" w:cs="宋体"/>
          <w:kern w:val="0"/>
          <w:sz w:val="28"/>
          <w:szCs w:val="28"/>
        </w:rPr>
      </w:pPr>
    </w:p>
    <w:p>
      <w:pPr>
        <w:widowControl/>
        <w:spacing w:line="480" w:lineRule="auto"/>
        <w:jc w:val="left"/>
        <w:rPr>
          <w:rFonts w:hint="eastAsia" w:ascii="宋体" w:cs="宋体"/>
          <w:kern w:val="0"/>
          <w:sz w:val="28"/>
          <w:szCs w:val="28"/>
        </w:rPr>
      </w:pPr>
    </w:p>
    <w:p/>
    <w:tbl>
      <w:tblPr>
        <w:tblStyle w:val="9"/>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24" w:type="dxa"/>
          <w:left w:w="24" w:type="dxa"/>
          <w:bottom w:w="24" w:type="dxa"/>
          <w:right w:w="24" w:type="dxa"/>
        </w:tblCellMar>
      </w:tblPr>
      <w:tblGrid>
        <w:gridCol w:w="1123"/>
        <w:gridCol w:w="151"/>
        <w:gridCol w:w="387"/>
        <w:gridCol w:w="566"/>
        <w:gridCol w:w="263"/>
        <w:gridCol w:w="757"/>
        <w:gridCol w:w="515"/>
        <w:gridCol w:w="613"/>
        <w:gridCol w:w="200"/>
        <w:gridCol w:w="148"/>
        <w:gridCol w:w="924"/>
        <w:gridCol w:w="469"/>
        <w:gridCol w:w="778"/>
        <w:gridCol w:w="410"/>
        <w:gridCol w:w="31"/>
        <w:gridCol w:w="1983"/>
      </w:tblGrid>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32" w:hRule="atLeast"/>
        </w:trPr>
        <w:tc>
          <w:tcPr>
            <w:tcW w:w="9318" w:type="dxa"/>
            <w:gridSpan w:val="1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b/>
                <w:bCs/>
                <w:kern w:val="0"/>
                <w:szCs w:val="21"/>
              </w:rPr>
              <w:t>一、部门（单位）基本概况</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03" w:hRule="atLeast"/>
        </w:trPr>
        <w:tc>
          <w:tcPr>
            <w:tcW w:w="1661"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kern w:val="0"/>
                <w:szCs w:val="21"/>
              </w:rPr>
              <w:t>联系人</w:t>
            </w:r>
          </w:p>
        </w:tc>
        <w:tc>
          <w:tcPr>
            <w:tcW w:w="2914" w:type="dxa"/>
            <w:gridSpan w:val="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eastAsia="宋体" w:cs="宋体"/>
                <w:kern w:val="0"/>
                <w:szCs w:val="21"/>
                <w:lang w:eastAsia="zh-CN"/>
              </w:rPr>
            </w:pPr>
            <w:r>
              <w:rPr>
                <w:rFonts w:hint="eastAsia" w:ascii="宋体" w:cs="宋体"/>
                <w:kern w:val="0"/>
                <w:szCs w:val="21"/>
                <w:lang w:val="en-US" w:eastAsia="zh-CN"/>
              </w:rPr>
              <w:t xml:space="preserve">   </w:t>
            </w:r>
            <w:r>
              <w:rPr>
                <w:rFonts w:hint="eastAsia" w:ascii="宋体" w:cs="宋体"/>
                <w:kern w:val="0"/>
                <w:szCs w:val="21"/>
                <w:lang w:eastAsia="zh-CN"/>
              </w:rPr>
              <w:t>孙朝明</w:t>
            </w:r>
          </w:p>
        </w:tc>
        <w:tc>
          <w:tcPr>
            <w:tcW w:w="2319"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kern w:val="0"/>
                <w:szCs w:val="21"/>
              </w:rPr>
              <w:t>联络电话</w:t>
            </w:r>
          </w:p>
        </w:tc>
        <w:tc>
          <w:tcPr>
            <w:tcW w:w="242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eastAsia="宋体" w:cs="宋体"/>
                <w:kern w:val="0"/>
                <w:szCs w:val="21"/>
                <w:lang w:val="en-US" w:eastAsia="zh-CN"/>
              </w:rPr>
            </w:pPr>
            <w:r>
              <w:rPr>
                <w:rFonts w:hint="eastAsia" w:ascii="宋体" w:cs="宋体"/>
                <w:kern w:val="0"/>
                <w:szCs w:val="21"/>
                <w:lang w:val="en-US" w:eastAsia="zh-CN"/>
              </w:rPr>
              <w:t>13874579800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621" w:hRule="atLeast"/>
        </w:trPr>
        <w:tc>
          <w:tcPr>
            <w:tcW w:w="1661"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kern w:val="0"/>
                <w:szCs w:val="21"/>
              </w:rPr>
              <w:t>人员编制</w:t>
            </w:r>
          </w:p>
        </w:tc>
        <w:tc>
          <w:tcPr>
            <w:tcW w:w="2914" w:type="dxa"/>
            <w:gridSpan w:val="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eastAsia="宋体" w:cs="宋体"/>
                <w:kern w:val="0"/>
                <w:szCs w:val="21"/>
                <w:lang w:val="en-US" w:eastAsia="zh-CN"/>
              </w:rPr>
            </w:pPr>
            <w:r>
              <w:rPr>
                <w:rFonts w:hint="eastAsia" w:ascii="宋体" w:cs="宋体"/>
                <w:kern w:val="0"/>
                <w:szCs w:val="21"/>
                <w:lang w:val="en-US" w:eastAsia="zh-CN"/>
              </w:rPr>
              <w:t xml:space="preserve">    86</w:t>
            </w:r>
          </w:p>
        </w:tc>
        <w:tc>
          <w:tcPr>
            <w:tcW w:w="2319"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kern w:val="0"/>
                <w:szCs w:val="21"/>
              </w:rPr>
              <w:t>实有人数</w:t>
            </w:r>
          </w:p>
        </w:tc>
        <w:tc>
          <w:tcPr>
            <w:tcW w:w="242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eastAsia="宋体" w:cs="宋体"/>
                <w:kern w:val="0"/>
                <w:szCs w:val="21"/>
                <w:lang w:val="en-US" w:eastAsia="zh-CN"/>
              </w:rPr>
            </w:pPr>
            <w:r>
              <w:rPr>
                <w:rFonts w:hint="eastAsia" w:ascii="宋体" w:cs="宋体"/>
                <w:kern w:val="0"/>
                <w:szCs w:val="21"/>
                <w:lang w:val="en-US" w:eastAsia="zh-CN"/>
              </w:rPr>
              <w:t xml:space="preserve">   66</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3084" w:hRule="atLeast"/>
        </w:trPr>
        <w:tc>
          <w:tcPr>
            <w:tcW w:w="1661"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职能职责概述</w:t>
            </w:r>
          </w:p>
        </w:tc>
        <w:tc>
          <w:tcPr>
            <w:tcW w:w="7657" w:type="dxa"/>
            <w:gridSpan w:val="1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r>
              <w:rPr>
                <w:rFonts w:hint="eastAsia" w:ascii="宋体" w:cs="宋体"/>
                <w:kern w:val="0"/>
                <w:szCs w:val="21"/>
              </w:rPr>
              <w:t>主要职责：（一）协助市政府领导同志审核或组织起草以市政府、市政府办公室名义发布的公文。</w:t>
            </w:r>
          </w:p>
          <w:p>
            <w:pPr>
              <w:widowControl/>
              <w:spacing w:line="300" w:lineRule="exact"/>
              <w:jc w:val="left"/>
              <w:rPr>
                <w:rFonts w:hint="eastAsia" w:ascii="宋体" w:cs="宋体"/>
                <w:kern w:val="0"/>
                <w:szCs w:val="21"/>
              </w:rPr>
            </w:pPr>
            <w:r>
              <w:rPr>
                <w:rFonts w:hint="eastAsia" w:ascii="宋体" w:cs="宋体"/>
                <w:kern w:val="0"/>
                <w:szCs w:val="21"/>
              </w:rPr>
              <w:t>（二）研究市政府各部门和各乡（镇）人民政府请示市政府的事项，提出审核意见，报市政府领导同志审批。</w:t>
            </w:r>
          </w:p>
          <w:p>
            <w:pPr>
              <w:widowControl/>
              <w:spacing w:line="300" w:lineRule="exact"/>
              <w:jc w:val="left"/>
              <w:rPr>
                <w:rFonts w:hint="eastAsia" w:ascii="宋体" w:cs="宋体"/>
                <w:kern w:val="0"/>
                <w:szCs w:val="21"/>
              </w:rPr>
            </w:pPr>
            <w:r>
              <w:rPr>
                <w:rFonts w:hint="eastAsia" w:ascii="宋体" w:cs="宋体"/>
                <w:kern w:val="0"/>
                <w:szCs w:val="21"/>
              </w:rPr>
              <w:t>（三）负责市政府会议的组织和服务工作，协助实施会议决定事项。</w:t>
            </w:r>
          </w:p>
          <w:p>
            <w:pPr>
              <w:widowControl/>
              <w:spacing w:line="300" w:lineRule="exact"/>
              <w:jc w:val="left"/>
              <w:rPr>
                <w:rFonts w:hint="eastAsia" w:ascii="宋体" w:cs="宋体"/>
                <w:kern w:val="0"/>
                <w:szCs w:val="21"/>
              </w:rPr>
            </w:pPr>
            <w:r>
              <w:rPr>
                <w:rFonts w:hint="eastAsia" w:ascii="宋体" w:cs="宋体"/>
                <w:kern w:val="0"/>
                <w:szCs w:val="21"/>
              </w:rPr>
              <w:t>（四）根据市政府领导同志的指示或工作需要，对有关问题进行协调，提出处理意见，报市政府领导同志决定。</w:t>
            </w:r>
          </w:p>
          <w:p>
            <w:pPr>
              <w:widowControl/>
              <w:spacing w:line="300" w:lineRule="exact"/>
              <w:jc w:val="left"/>
              <w:rPr>
                <w:rFonts w:hint="eastAsia" w:ascii="宋体" w:cs="宋体"/>
                <w:kern w:val="0"/>
                <w:szCs w:val="21"/>
              </w:rPr>
            </w:pPr>
            <w:r>
              <w:rPr>
                <w:rFonts w:hint="eastAsia" w:ascii="宋体" w:cs="宋体"/>
                <w:kern w:val="0"/>
                <w:szCs w:val="21"/>
              </w:rPr>
              <w:t>（五）办理中央、省、怀化市政府和市政府领导同志的批示，并督促落实。督促检查市政府各部门和各乡（镇）人民政府对市政府决定事项的执行落实情况，及时向市政府报告。</w:t>
            </w:r>
          </w:p>
          <w:p>
            <w:pPr>
              <w:widowControl/>
              <w:spacing w:line="300" w:lineRule="exact"/>
              <w:jc w:val="left"/>
              <w:rPr>
                <w:rFonts w:hint="eastAsia" w:ascii="宋体" w:cs="宋体"/>
                <w:kern w:val="0"/>
                <w:szCs w:val="21"/>
              </w:rPr>
            </w:pPr>
            <w:r>
              <w:rPr>
                <w:rFonts w:hint="eastAsia" w:ascii="宋体" w:cs="宋体"/>
                <w:kern w:val="0"/>
                <w:szCs w:val="21"/>
              </w:rPr>
              <w:t>（六）组织开展人大代表建议、政协提案办理工作。</w:t>
            </w:r>
          </w:p>
          <w:p>
            <w:pPr>
              <w:widowControl/>
              <w:spacing w:line="300" w:lineRule="exact"/>
              <w:jc w:val="left"/>
              <w:rPr>
                <w:rFonts w:hint="eastAsia" w:ascii="宋体" w:cs="宋体"/>
                <w:kern w:val="0"/>
                <w:szCs w:val="21"/>
              </w:rPr>
            </w:pPr>
            <w:r>
              <w:rPr>
                <w:rFonts w:hint="eastAsia" w:ascii="宋体" w:cs="宋体"/>
                <w:kern w:val="0"/>
                <w:szCs w:val="21"/>
              </w:rPr>
              <w:t>（七）负责政务信息的收集并向国务院、省政府、怀化市政府和洪江市政府领导同志报告重要信息和情况。</w:t>
            </w:r>
          </w:p>
          <w:p>
            <w:pPr>
              <w:widowControl/>
              <w:spacing w:line="300" w:lineRule="exact"/>
              <w:jc w:val="left"/>
              <w:rPr>
                <w:rFonts w:hint="eastAsia" w:ascii="宋体" w:cs="宋体"/>
                <w:kern w:val="0"/>
                <w:szCs w:val="21"/>
              </w:rPr>
            </w:pPr>
            <w:r>
              <w:rPr>
                <w:rFonts w:hint="eastAsia" w:ascii="宋体" w:cs="宋体"/>
                <w:kern w:val="0"/>
                <w:szCs w:val="21"/>
              </w:rPr>
              <w:t>（八）负责市政府值班工作。</w:t>
            </w:r>
          </w:p>
          <w:p>
            <w:pPr>
              <w:widowControl/>
              <w:spacing w:line="300" w:lineRule="exact"/>
              <w:jc w:val="left"/>
              <w:rPr>
                <w:rFonts w:hint="eastAsia" w:ascii="宋体" w:cs="宋体"/>
                <w:kern w:val="0"/>
                <w:szCs w:val="21"/>
              </w:rPr>
            </w:pPr>
            <w:r>
              <w:rPr>
                <w:rFonts w:hint="eastAsia" w:ascii="宋体" w:cs="宋体"/>
                <w:kern w:val="0"/>
                <w:szCs w:val="21"/>
              </w:rPr>
              <w:t>（九）负责国务院、省政府、怀化市政府以及上级政府对口部门领导来洪检查指导工作和外地政府领导来洪考察了解情况的协调联络工作。</w:t>
            </w:r>
          </w:p>
          <w:p>
            <w:pPr>
              <w:widowControl/>
              <w:spacing w:line="300" w:lineRule="exact"/>
              <w:jc w:val="left"/>
              <w:rPr>
                <w:rFonts w:hint="eastAsia" w:ascii="宋体" w:cs="宋体"/>
                <w:kern w:val="0"/>
                <w:szCs w:val="21"/>
              </w:rPr>
            </w:pPr>
            <w:r>
              <w:rPr>
                <w:rFonts w:hint="eastAsia" w:ascii="宋体" w:cs="宋体"/>
                <w:kern w:val="0"/>
                <w:szCs w:val="21"/>
              </w:rPr>
              <w:t>（十）负责协调、监督管理财税金融工作。</w:t>
            </w:r>
          </w:p>
          <w:p>
            <w:pPr>
              <w:widowControl/>
              <w:spacing w:line="300" w:lineRule="exact"/>
              <w:jc w:val="left"/>
              <w:rPr>
                <w:rFonts w:hint="eastAsia" w:ascii="宋体" w:cs="宋体"/>
                <w:kern w:val="0"/>
                <w:szCs w:val="21"/>
              </w:rPr>
            </w:pPr>
            <w:r>
              <w:rPr>
                <w:rFonts w:hint="eastAsia" w:ascii="宋体" w:cs="宋体"/>
                <w:kern w:val="0"/>
                <w:szCs w:val="21"/>
              </w:rPr>
              <w:t>（十一）根据市政府领导同志的指示和市政府工作部署，对全市经济建设、社会发展和改革中带全局性的重大课题进行调查研究，及时反映情况，提出政策建议；联系、指导全市政府系统的调研工作。</w:t>
            </w:r>
          </w:p>
          <w:p>
            <w:pPr>
              <w:widowControl/>
              <w:spacing w:line="300" w:lineRule="exact"/>
              <w:jc w:val="left"/>
              <w:rPr>
                <w:rFonts w:hint="eastAsia" w:ascii="宋体" w:cs="宋体"/>
                <w:kern w:val="0"/>
                <w:szCs w:val="21"/>
              </w:rPr>
            </w:pPr>
            <w:r>
              <w:rPr>
                <w:rFonts w:hint="eastAsia" w:ascii="宋体" w:cs="宋体"/>
                <w:kern w:val="0"/>
                <w:szCs w:val="21"/>
              </w:rPr>
              <w:t>（十二）贯彻落实市委、市政府有关优化经济发展环境的政策、措施；负责全市优化经济发展环境工作的组织实施和优化经济发展环境工作的监督、检查以及组织调处、督办影响经济发展环境的各类纠纷和案件。</w:t>
            </w:r>
          </w:p>
          <w:p>
            <w:pPr>
              <w:widowControl/>
              <w:spacing w:line="300" w:lineRule="exact"/>
              <w:jc w:val="left"/>
              <w:rPr>
                <w:rFonts w:hint="eastAsia" w:ascii="宋体" w:cs="宋体"/>
                <w:kern w:val="0"/>
                <w:szCs w:val="21"/>
              </w:rPr>
            </w:pPr>
            <w:r>
              <w:rPr>
                <w:rFonts w:hint="eastAsia" w:ascii="宋体" w:cs="宋体"/>
                <w:kern w:val="0"/>
                <w:szCs w:val="21"/>
              </w:rPr>
              <w:t>（十三）负责市政府行政效能督查督办工作。</w:t>
            </w:r>
          </w:p>
          <w:p>
            <w:pPr>
              <w:widowControl/>
              <w:spacing w:line="300" w:lineRule="exact"/>
              <w:jc w:val="left"/>
              <w:rPr>
                <w:rFonts w:hint="eastAsia" w:ascii="宋体" w:cs="宋体"/>
                <w:kern w:val="0"/>
                <w:szCs w:val="21"/>
              </w:rPr>
            </w:pPr>
            <w:r>
              <w:rPr>
                <w:rFonts w:hint="eastAsia" w:ascii="宋体" w:cs="宋体"/>
                <w:kern w:val="0"/>
                <w:szCs w:val="21"/>
              </w:rPr>
              <w:t>（十四）负责指导、协调、推进全市行政审批制度改革工作。</w:t>
            </w:r>
          </w:p>
          <w:p>
            <w:pPr>
              <w:widowControl/>
              <w:spacing w:line="300" w:lineRule="exact"/>
              <w:jc w:val="left"/>
              <w:rPr>
                <w:rFonts w:hint="eastAsia" w:ascii="宋体" w:cs="宋体"/>
                <w:kern w:val="0"/>
                <w:szCs w:val="21"/>
              </w:rPr>
            </w:pPr>
            <w:r>
              <w:rPr>
                <w:rFonts w:hint="eastAsia" w:ascii="宋体" w:cs="宋体"/>
                <w:kern w:val="0"/>
                <w:szCs w:val="21"/>
              </w:rPr>
              <w:t>（十五）完成市委、市政府交办的其他任务。</w:t>
            </w:r>
          </w:p>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2661" w:hRule="atLeast"/>
        </w:trPr>
        <w:tc>
          <w:tcPr>
            <w:tcW w:w="1661"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年度主要</w:t>
            </w:r>
          </w:p>
          <w:p>
            <w:pPr>
              <w:widowControl/>
              <w:spacing w:line="300" w:lineRule="exact"/>
              <w:jc w:val="center"/>
              <w:rPr>
                <w:rFonts w:hint="eastAsia" w:ascii="宋体" w:cs="宋体"/>
                <w:kern w:val="0"/>
                <w:szCs w:val="21"/>
              </w:rPr>
            </w:pPr>
            <w:r>
              <w:rPr>
                <w:rFonts w:hint="eastAsia" w:ascii="宋体" w:cs="宋体"/>
                <w:kern w:val="0"/>
                <w:szCs w:val="21"/>
              </w:rPr>
              <w:t>工作内容</w:t>
            </w:r>
          </w:p>
        </w:tc>
        <w:tc>
          <w:tcPr>
            <w:tcW w:w="7657" w:type="dxa"/>
            <w:gridSpan w:val="1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rPr>
                <w:rFonts w:hint="eastAsia" w:ascii="宋体" w:cs="宋体"/>
                <w:kern w:val="0"/>
                <w:szCs w:val="21"/>
                <w:lang w:val="en-US" w:eastAsia="zh-CN"/>
              </w:rPr>
            </w:pPr>
            <w:r>
              <w:rPr>
                <w:rFonts w:hint="eastAsia" w:ascii="宋体" w:cs="宋体"/>
                <w:kern w:val="0"/>
                <w:szCs w:val="21"/>
                <w:lang w:val="en-US" w:eastAsia="zh-CN"/>
              </w:rPr>
              <w:t>（1）持之以恒抓实党建。</w:t>
            </w:r>
            <w:r>
              <w:rPr>
                <w:rFonts w:hint="eastAsia" w:ascii="宋体" w:cs="宋体"/>
                <w:kern w:val="0"/>
                <w:szCs w:val="21"/>
                <w:lang w:eastAsia="zh-CN"/>
              </w:rPr>
              <w:t>（</w:t>
            </w:r>
            <w:r>
              <w:rPr>
                <w:rFonts w:hint="eastAsia" w:ascii="宋体" w:cs="宋体"/>
                <w:kern w:val="0"/>
                <w:szCs w:val="21"/>
                <w:lang w:val="en-US" w:eastAsia="zh-CN"/>
              </w:rPr>
              <w:t>2</w:t>
            </w:r>
            <w:r>
              <w:rPr>
                <w:rFonts w:hint="eastAsia" w:ascii="宋体" w:cs="宋体"/>
                <w:kern w:val="0"/>
                <w:szCs w:val="21"/>
                <w:lang w:eastAsia="zh-CN"/>
              </w:rPr>
              <w:t>）全力以赴做好督查督办。（</w:t>
            </w:r>
            <w:r>
              <w:rPr>
                <w:rFonts w:hint="eastAsia" w:ascii="宋体" w:cs="宋体"/>
                <w:kern w:val="0"/>
                <w:szCs w:val="21"/>
                <w:lang w:val="en-US" w:eastAsia="zh-CN"/>
              </w:rPr>
              <w:t>3</w:t>
            </w:r>
            <w:r>
              <w:rPr>
                <w:rFonts w:hint="eastAsia" w:ascii="宋体" w:cs="宋体"/>
                <w:kern w:val="0"/>
                <w:szCs w:val="21"/>
                <w:lang w:eastAsia="zh-CN"/>
              </w:rPr>
              <w:t>）高瞻深入开展调查研究。（</w:t>
            </w:r>
            <w:r>
              <w:rPr>
                <w:rFonts w:hint="eastAsia" w:ascii="宋体" w:cs="宋体"/>
                <w:kern w:val="0"/>
                <w:szCs w:val="21"/>
                <w:lang w:val="en-US" w:eastAsia="zh-CN"/>
              </w:rPr>
              <w:t>4</w:t>
            </w:r>
            <w:r>
              <w:rPr>
                <w:rFonts w:hint="eastAsia" w:ascii="宋体" w:cs="宋体"/>
                <w:kern w:val="0"/>
                <w:szCs w:val="21"/>
                <w:lang w:eastAsia="zh-CN"/>
              </w:rPr>
              <w:t>）积极开展优化经济环境工作。（</w:t>
            </w:r>
            <w:r>
              <w:rPr>
                <w:rFonts w:hint="eastAsia" w:ascii="宋体" w:cs="宋体"/>
                <w:kern w:val="0"/>
                <w:szCs w:val="21"/>
                <w:lang w:val="en-US" w:eastAsia="zh-CN"/>
              </w:rPr>
              <w:t>5</w:t>
            </w:r>
            <w:r>
              <w:rPr>
                <w:rFonts w:hint="eastAsia" w:ascii="宋体" w:cs="宋体"/>
                <w:kern w:val="0"/>
                <w:szCs w:val="21"/>
                <w:lang w:eastAsia="zh-CN"/>
              </w:rPr>
              <w:t>）全面推进协调服务工作。（</w:t>
            </w:r>
            <w:r>
              <w:rPr>
                <w:rFonts w:hint="eastAsia" w:ascii="宋体" w:cs="宋体"/>
                <w:kern w:val="0"/>
                <w:szCs w:val="21"/>
                <w:lang w:val="en-US" w:eastAsia="zh-CN"/>
              </w:rPr>
              <w:t>6</w:t>
            </w:r>
            <w:r>
              <w:rPr>
                <w:rFonts w:hint="eastAsia" w:ascii="宋体" w:cs="宋体"/>
                <w:kern w:val="0"/>
                <w:szCs w:val="21"/>
                <w:lang w:eastAsia="zh-CN"/>
              </w:rPr>
              <w:t>）多措并举推动禁毒工作</w:t>
            </w:r>
            <w:r>
              <w:rPr>
                <w:rFonts w:hint="eastAsia" w:ascii="宋体" w:cs="宋体"/>
                <w:kern w:val="0"/>
                <w:szCs w:val="21"/>
                <w:lang w:val="en-US" w:eastAsia="zh-CN"/>
              </w:rPr>
              <w:t>,</w:t>
            </w:r>
            <w:r>
              <w:rPr>
                <w:rFonts w:hint="eastAsia" w:ascii="宋体" w:cs="宋体"/>
                <w:kern w:val="0"/>
                <w:szCs w:val="21"/>
                <w:lang w:eastAsia="zh-CN"/>
              </w:rPr>
              <w:t>不断加强禁毒教育，严厉打击涉毒、贩毒、吸毒人员，禁毒工作进入怀化市先进行列。（</w:t>
            </w:r>
            <w:r>
              <w:rPr>
                <w:rFonts w:hint="eastAsia" w:ascii="宋体" w:cs="宋体"/>
                <w:kern w:val="0"/>
                <w:szCs w:val="21"/>
                <w:lang w:val="en-US" w:eastAsia="zh-CN"/>
              </w:rPr>
              <w:t>7</w:t>
            </w:r>
            <w:r>
              <w:rPr>
                <w:rFonts w:hint="eastAsia" w:ascii="宋体" w:cs="宋体"/>
                <w:kern w:val="0"/>
                <w:szCs w:val="21"/>
                <w:lang w:eastAsia="zh-CN"/>
              </w:rPr>
              <w:t>）多方联动保障道路安全。（</w:t>
            </w:r>
            <w:r>
              <w:rPr>
                <w:rFonts w:hint="eastAsia" w:ascii="宋体" w:cs="宋体"/>
                <w:kern w:val="0"/>
                <w:szCs w:val="21"/>
                <w:lang w:val="en-US" w:eastAsia="zh-CN"/>
              </w:rPr>
              <w:t>8</w:t>
            </w:r>
            <w:r>
              <w:rPr>
                <w:rFonts w:hint="eastAsia" w:ascii="宋体" w:cs="宋体"/>
                <w:kern w:val="0"/>
                <w:szCs w:val="21"/>
                <w:lang w:eastAsia="zh-CN"/>
              </w:rPr>
              <w:t>）凝心聚力发展中药材产业</w:t>
            </w:r>
            <w:r>
              <w:rPr>
                <w:rFonts w:hint="eastAsia" w:ascii="宋体" w:cs="宋体"/>
                <w:kern w:val="0"/>
                <w:szCs w:val="21"/>
                <w:lang w:val="en-US" w:eastAsia="zh-CN"/>
              </w:rPr>
              <w:t>,不断抓好中药材基地建设,同时，加强中药材品牌建设。</w:t>
            </w:r>
            <w:r>
              <w:rPr>
                <w:rFonts w:hint="eastAsia" w:ascii="宋体" w:cs="宋体"/>
                <w:kern w:val="0"/>
                <w:szCs w:val="21"/>
                <w:lang w:eastAsia="zh-CN"/>
              </w:rPr>
              <w:t>（</w:t>
            </w:r>
            <w:r>
              <w:rPr>
                <w:rFonts w:hint="eastAsia" w:ascii="宋体" w:cs="宋体"/>
                <w:kern w:val="0"/>
                <w:szCs w:val="21"/>
                <w:lang w:val="en-US" w:eastAsia="zh-CN"/>
              </w:rPr>
              <w:t>9</w:t>
            </w:r>
            <w:r>
              <w:rPr>
                <w:rFonts w:hint="eastAsia" w:ascii="宋体" w:cs="宋体"/>
                <w:kern w:val="0"/>
                <w:szCs w:val="21"/>
                <w:lang w:eastAsia="zh-CN"/>
              </w:rPr>
              <w:t>）持续发力推动财税金融工作，力推“两行”开业，支持企业复工复产，推进不良贷款清收。（</w:t>
            </w:r>
            <w:r>
              <w:rPr>
                <w:rFonts w:hint="eastAsia" w:ascii="宋体" w:cs="宋体"/>
                <w:kern w:val="0"/>
                <w:szCs w:val="21"/>
                <w:lang w:val="en-US" w:eastAsia="zh-CN"/>
              </w:rPr>
              <w:t>10</w:t>
            </w:r>
            <w:r>
              <w:rPr>
                <w:rFonts w:hint="eastAsia" w:ascii="宋体" w:cs="宋体"/>
                <w:kern w:val="0"/>
                <w:szCs w:val="21"/>
                <w:lang w:eastAsia="zh-CN"/>
              </w:rPr>
              <w:t>）以贯之做好脱贫攻坚工作。（</w:t>
            </w:r>
            <w:r>
              <w:rPr>
                <w:rFonts w:hint="eastAsia" w:ascii="宋体" w:cs="宋体"/>
                <w:kern w:val="0"/>
                <w:szCs w:val="21"/>
                <w:lang w:val="en-US" w:eastAsia="zh-CN"/>
              </w:rPr>
              <w:t>11</w:t>
            </w:r>
            <w:r>
              <w:rPr>
                <w:rFonts w:hint="eastAsia" w:ascii="宋体" w:cs="宋体"/>
                <w:kern w:val="0"/>
                <w:szCs w:val="21"/>
                <w:lang w:eastAsia="zh-CN"/>
              </w:rPr>
              <w:t>）有效推进深化“放管服”工作。（</w:t>
            </w:r>
            <w:r>
              <w:rPr>
                <w:rFonts w:hint="eastAsia" w:ascii="宋体" w:cs="宋体"/>
                <w:kern w:val="0"/>
                <w:szCs w:val="21"/>
                <w:lang w:val="en-US" w:eastAsia="zh-CN"/>
              </w:rPr>
              <w:t>12</w:t>
            </w:r>
            <w:r>
              <w:rPr>
                <w:rFonts w:hint="eastAsia" w:ascii="宋体" w:cs="宋体"/>
                <w:kern w:val="0"/>
                <w:szCs w:val="21"/>
                <w:lang w:eastAsia="zh-CN"/>
              </w:rPr>
              <w:t>）强化职能做好机要人事工作。（</w:t>
            </w:r>
            <w:r>
              <w:rPr>
                <w:rFonts w:hint="eastAsia" w:ascii="宋体" w:cs="宋体"/>
                <w:kern w:val="0"/>
                <w:szCs w:val="21"/>
                <w:lang w:val="en-US" w:eastAsia="zh-CN"/>
              </w:rPr>
              <w:t>13</w:t>
            </w:r>
            <w:r>
              <w:rPr>
                <w:rFonts w:hint="eastAsia" w:ascii="宋体" w:cs="宋体"/>
                <w:kern w:val="0"/>
                <w:szCs w:val="21"/>
                <w:lang w:eastAsia="zh-CN"/>
              </w:rPr>
              <w:t>）保驾护航做好行政事务管理室工作。（</w:t>
            </w:r>
            <w:r>
              <w:rPr>
                <w:rFonts w:hint="eastAsia" w:ascii="宋体" w:cs="宋体"/>
                <w:kern w:val="0"/>
                <w:szCs w:val="21"/>
                <w:lang w:val="en-US" w:eastAsia="zh-CN"/>
              </w:rPr>
              <w:t>14</w:t>
            </w:r>
            <w:r>
              <w:rPr>
                <w:rFonts w:hint="eastAsia" w:ascii="宋体" w:cs="宋体"/>
                <w:kern w:val="0"/>
                <w:szCs w:val="21"/>
                <w:lang w:eastAsia="zh-CN"/>
              </w:rPr>
              <w:t>）出谋划策力推柑橘产业发展工作。</w:t>
            </w:r>
          </w:p>
          <w:p>
            <w:pPr>
              <w:widowControl/>
              <w:spacing w:line="300" w:lineRule="exact"/>
              <w:ind w:firstLine="480"/>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2248" w:hRule="atLeast"/>
        </w:trPr>
        <w:tc>
          <w:tcPr>
            <w:tcW w:w="1661"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年度部门（单位）总体运行情况及取得的成绩</w:t>
            </w:r>
          </w:p>
        </w:tc>
        <w:tc>
          <w:tcPr>
            <w:tcW w:w="7657" w:type="dxa"/>
            <w:gridSpan w:val="1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lang w:val="en-US" w:eastAsia="zh-CN"/>
              </w:rPr>
            </w:pPr>
            <w:r>
              <w:rPr>
                <w:rFonts w:hint="eastAsia" w:ascii="宋体" w:cs="宋体"/>
                <w:kern w:val="0"/>
                <w:szCs w:val="21"/>
                <w:lang w:val="en-US" w:eastAsia="zh-CN"/>
              </w:rPr>
              <w:t>（1）持之以恒抓实党建。做到三个到位，精心部署到位，责任制落实到位，党建工作基础保障到位。</w:t>
            </w:r>
            <w:r>
              <w:rPr>
                <w:rFonts w:hint="eastAsia" w:ascii="宋体" w:cs="宋体"/>
                <w:kern w:val="0"/>
                <w:szCs w:val="21"/>
                <w:lang w:eastAsia="zh-CN"/>
              </w:rPr>
              <w:t>（</w:t>
            </w:r>
            <w:r>
              <w:rPr>
                <w:rFonts w:hint="eastAsia" w:ascii="宋体" w:cs="宋体"/>
                <w:kern w:val="0"/>
                <w:szCs w:val="21"/>
                <w:lang w:val="en-US" w:eastAsia="zh-CN"/>
              </w:rPr>
              <w:t>2</w:t>
            </w:r>
            <w:r>
              <w:rPr>
                <w:rFonts w:hint="eastAsia" w:ascii="宋体" w:cs="宋体"/>
                <w:kern w:val="0"/>
                <w:szCs w:val="21"/>
                <w:lang w:eastAsia="zh-CN"/>
              </w:rPr>
              <w:t>）全力以赴做好督查督办。紧紧围绕洪江市委、市政府重大决策和重要工作部署，着力强化督办落实，创新督查方式，做到“四个结合”，对脱贫攻坚、重点项目建设、深化放管服改革、真抓实干、争资引项、环保问题整改、不良贷款清收、国务院“互联网+督查”平台留言办理、会风会纪、柑橘销售等各类事项督办489件，呈报《督查专报》44期、下发《督查通报》9期、防疫督查简报及通报17期、交办督办函116份，督办办理人大建议73件及政协提案76件。切实提高了督查实效，使各项工作真正落到实处。（</w:t>
            </w:r>
            <w:r>
              <w:rPr>
                <w:rFonts w:hint="eastAsia" w:ascii="宋体" w:cs="宋体"/>
                <w:kern w:val="0"/>
                <w:szCs w:val="21"/>
                <w:lang w:val="en-US" w:eastAsia="zh-CN"/>
              </w:rPr>
              <w:t>3</w:t>
            </w:r>
            <w:r>
              <w:rPr>
                <w:rFonts w:hint="eastAsia" w:ascii="宋体" w:cs="宋体"/>
                <w:kern w:val="0"/>
                <w:szCs w:val="21"/>
                <w:lang w:eastAsia="zh-CN"/>
              </w:rPr>
              <w:t>）高瞻深入开展调查研究。高质量完成了市“两会”《政府工作报告》、市委经济工作会议等材料。深入实地，实事求是，对全市政治、经济、社会发展等方面的重大问题开展调查研究，25次调研成果进入市委市政府领导决策圈，上百条意见建议被市领导采纳。政务信息继续在怀化市排名前列。（</w:t>
            </w:r>
            <w:r>
              <w:rPr>
                <w:rFonts w:hint="eastAsia" w:ascii="宋体" w:cs="宋体"/>
                <w:kern w:val="0"/>
                <w:szCs w:val="21"/>
                <w:lang w:val="en-US" w:eastAsia="zh-CN"/>
              </w:rPr>
              <w:t>4</w:t>
            </w:r>
            <w:r>
              <w:rPr>
                <w:rFonts w:hint="eastAsia" w:ascii="宋体" w:cs="宋体"/>
                <w:kern w:val="0"/>
                <w:szCs w:val="21"/>
                <w:lang w:eastAsia="zh-CN"/>
              </w:rPr>
              <w:t>）积极开展优化经济环境工作。制定了《洪江市2020年营商环境主要指标补短板强弱项工作方案》《洪江市2020年优化营商环境工作要点》《洪江市2020年优化营商环境工作考核评价办法》，对政策落实情况实行“一月一调度”，严格按照怀化要求的时间节点完成了各项工作任务。（</w:t>
            </w:r>
            <w:r>
              <w:rPr>
                <w:rFonts w:hint="eastAsia" w:ascii="宋体" w:cs="宋体"/>
                <w:kern w:val="0"/>
                <w:szCs w:val="21"/>
                <w:lang w:val="en-US" w:eastAsia="zh-CN"/>
              </w:rPr>
              <w:t>5</w:t>
            </w:r>
            <w:r>
              <w:rPr>
                <w:rFonts w:hint="eastAsia" w:ascii="宋体" w:cs="宋体"/>
                <w:kern w:val="0"/>
                <w:szCs w:val="21"/>
                <w:lang w:eastAsia="zh-CN"/>
              </w:rPr>
              <w:t>）全面推进协调服务工作。市政府办不断提高协调服务水平，有效保障了各项工作的运转和政府各项决策落到实处。（</w:t>
            </w:r>
            <w:r>
              <w:rPr>
                <w:rFonts w:hint="eastAsia" w:ascii="宋体" w:cs="宋体"/>
                <w:kern w:val="0"/>
                <w:szCs w:val="21"/>
                <w:lang w:val="en-US" w:eastAsia="zh-CN"/>
              </w:rPr>
              <w:t>6</w:t>
            </w:r>
            <w:r>
              <w:rPr>
                <w:rFonts w:hint="eastAsia" w:ascii="宋体" w:cs="宋体"/>
                <w:kern w:val="0"/>
                <w:szCs w:val="21"/>
                <w:lang w:eastAsia="zh-CN"/>
              </w:rPr>
              <w:t>）多措并举推动禁毒工作</w:t>
            </w:r>
            <w:r>
              <w:rPr>
                <w:rFonts w:hint="eastAsia" w:ascii="宋体" w:cs="宋体"/>
                <w:kern w:val="0"/>
                <w:szCs w:val="21"/>
                <w:lang w:val="en-US" w:eastAsia="zh-CN"/>
              </w:rPr>
              <w:t>,</w:t>
            </w:r>
            <w:r>
              <w:rPr>
                <w:rFonts w:hint="eastAsia" w:ascii="宋体" w:cs="宋体"/>
                <w:kern w:val="0"/>
                <w:szCs w:val="21"/>
                <w:lang w:eastAsia="zh-CN"/>
              </w:rPr>
              <w:t>不断加强禁毒教育，严厉打击涉毒、贩毒、吸毒人员，禁毒工作进入怀化市先进行列。（</w:t>
            </w:r>
            <w:r>
              <w:rPr>
                <w:rFonts w:hint="eastAsia" w:ascii="宋体" w:cs="宋体"/>
                <w:kern w:val="0"/>
                <w:szCs w:val="21"/>
                <w:lang w:val="en-US" w:eastAsia="zh-CN"/>
              </w:rPr>
              <w:t>7</w:t>
            </w:r>
            <w:r>
              <w:rPr>
                <w:rFonts w:hint="eastAsia" w:ascii="宋体" w:cs="宋体"/>
                <w:kern w:val="0"/>
                <w:szCs w:val="21"/>
                <w:lang w:eastAsia="zh-CN"/>
              </w:rPr>
              <w:t>）多方联动保障道路安全。大力消除风险隐患，对辖区G320、G241、G209国道，S334省道71处隐患点进行专项整治、有效保障了道路运输安全。（</w:t>
            </w:r>
            <w:r>
              <w:rPr>
                <w:rFonts w:hint="eastAsia" w:ascii="宋体" w:cs="宋体"/>
                <w:kern w:val="0"/>
                <w:szCs w:val="21"/>
                <w:lang w:val="en-US" w:eastAsia="zh-CN"/>
              </w:rPr>
              <w:t>8</w:t>
            </w:r>
            <w:r>
              <w:rPr>
                <w:rFonts w:hint="eastAsia" w:ascii="宋体" w:cs="宋体"/>
                <w:kern w:val="0"/>
                <w:szCs w:val="21"/>
                <w:lang w:eastAsia="zh-CN"/>
              </w:rPr>
              <w:t>）凝心聚力发展中药材产业</w:t>
            </w:r>
            <w:r>
              <w:rPr>
                <w:rFonts w:hint="eastAsia" w:ascii="宋体" w:cs="宋体"/>
                <w:kern w:val="0"/>
                <w:szCs w:val="21"/>
                <w:lang w:val="en-US" w:eastAsia="zh-CN"/>
              </w:rPr>
              <w:t>,不断抓好中药材基地建设,同时，加强中药材品牌建设。</w:t>
            </w:r>
            <w:r>
              <w:rPr>
                <w:rFonts w:hint="eastAsia" w:ascii="宋体" w:cs="宋体"/>
                <w:kern w:val="0"/>
                <w:szCs w:val="21"/>
                <w:lang w:eastAsia="zh-CN"/>
              </w:rPr>
              <w:t>（</w:t>
            </w:r>
            <w:r>
              <w:rPr>
                <w:rFonts w:hint="eastAsia" w:ascii="宋体" w:cs="宋体"/>
                <w:kern w:val="0"/>
                <w:szCs w:val="21"/>
                <w:lang w:val="en-US" w:eastAsia="zh-CN"/>
              </w:rPr>
              <w:t>9</w:t>
            </w:r>
            <w:r>
              <w:rPr>
                <w:rFonts w:hint="eastAsia" w:ascii="宋体" w:cs="宋体"/>
                <w:kern w:val="0"/>
                <w:szCs w:val="21"/>
                <w:lang w:eastAsia="zh-CN"/>
              </w:rPr>
              <w:t>）持续发力推动财税金融工作，力推“两行”开业，支持企业复工复产，推进不良贷款清收。（</w:t>
            </w:r>
            <w:r>
              <w:rPr>
                <w:rFonts w:hint="eastAsia" w:ascii="宋体" w:cs="宋体"/>
                <w:kern w:val="0"/>
                <w:szCs w:val="21"/>
                <w:lang w:val="en-US" w:eastAsia="zh-CN"/>
              </w:rPr>
              <w:t>10</w:t>
            </w:r>
            <w:r>
              <w:rPr>
                <w:rFonts w:hint="eastAsia" w:ascii="宋体" w:cs="宋体"/>
                <w:kern w:val="0"/>
                <w:szCs w:val="21"/>
                <w:lang w:eastAsia="zh-CN"/>
              </w:rPr>
              <w:t>）以贯之做好脱贫攻坚工作。始终坚持将脱贫攻坚作为第一政治要务抓，对标“两不愁三保障”，瞄准突出问题和薄弱环节，切实做到五个到位。（</w:t>
            </w:r>
            <w:r>
              <w:rPr>
                <w:rFonts w:hint="eastAsia" w:ascii="宋体" w:cs="宋体"/>
                <w:kern w:val="0"/>
                <w:szCs w:val="21"/>
                <w:lang w:val="en-US" w:eastAsia="zh-CN"/>
              </w:rPr>
              <w:t>11</w:t>
            </w:r>
            <w:r>
              <w:rPr>
                <w:rFonts w:hint="eastAsia" w:ascii="宋体" w:cs="宋体"/>
                <w:kern w:val="0"/>
                <w:szCs w:val="21"/>
                <w:lang w:eastAsia="zh-CN"/>
              </w:rPr>
              <w:t>）有效推进深化“放管服”工作。2020年，共收集38个市直单位权责事项共计4101项，下一步，交由司法局进行合法性审查，并报市政府常务会议通过后进行公布。（</w:t>
            </w:r>
            <w:r>
              <w:rPr>
                <w:rFonts w:hint="eastAsia" w:ascii="宋体" w:cs="宋体"/>
                <w:kern w:val="0"/>
                <w:szCs w:val="21"/>
                <w:lang w:val="en-US" w:eastAsia="zh-CN"/>
              </w:rPr>
              <w:t>12</w:t>
            </w:r>
            <w:r>
              <w:rPr>
                <w:rFonts w:hint="eastAsia" w:ascii="宋体" w:cs="宋体"/>
                <w:kern w:val="0"/>
                <w:szCs w:val="21"/>
                <w:lang w:eastAsia="zh-CN"/>
              </w:rPr>
              <w:t>）强化职能做好机要人事工作。全面按时完成了文书档案的收集、归档、整理工作，档案利用及时有效。（</w:t>
            </w:r>
            <w:r>
              <w:rPr>
                <w:rFonts w:hint="eastAsia" w:ascii="宋体" w:cs="宋体"/>
                <w:kern w:val="0"/>
                <w:szCs w:val="21"/>
                <w:lang w:val="en-US" w:eastAsia="zh-CN"/>
              </w:rPr>
              <w:t>13</w:t>
            </w:r>
            <w:r>
              <w:rPr>
                <w:rFonts w:hint="eastAsia" w:ascii="宋体" w:cs="宋体"/>
                <w:kern w:val="0"/>
                <w:szCs w:val="21"/>
                <w:lang w:eastAsia="zh-CN"/>
              </w:rPr>
              <w:t>）保驾护航做好行政事务管理室工作。（</w:t>
            </w:r>
            <w:r>
              <w:rPr>
                <w:rFonts w:hint="eastAsia" w:ascii="宋体" w:cs="宋体"/>
                <w:kern w:val="0"/>
                <w:szCs w:val="21"/>
                <w:lang w:val="en-US" w:eastAsia="zh-CN"/>
              </w:rPr>
              <w:t>14</w:t>
            </w:r>
            <w:r>
              <w:rPr>
                <w:rFonts w:hint="eastAsia" w:ascii="宋体" w:cs="宋体"/>
                <w:kern w:val="0"/>
                <w:szCs w:val="21"/>
                <w:lang w:eastAsia="zh-CN"/>
              </w:rPr>
              <w:t>）出谋划策力推柑橘产业发展工作，积极推进国家地理标志产品——黔阳冰糖橙产品标准修订工作。</w:t>
            </w:r>
          </w:p>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61" w:hRule="atLeast"/>
        </w:trPr>
        <w:tc>
          <w:tcPr>
            <w:tcW w:w="9318" w:type="dxa"/>
            <w:gridSpan w:val="1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b/>
                <w:bCs/>
                <w:kern w:val="0"/>
                <w:szCs w:val="21"/>
              </w:rPr>
              <w:t>二、部门（单位）收支情况</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61" w:hRule="atLeast"/>
        </w:trPr>
        <w:tc>
          <w:tcPr>
            <w:tcW w:w="9318" w:type="dxa"/>
            <w:gridSpan w:val="1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b/>
                <w:bCs/>
                <w:kern w:val="0"/>
                <w:szCs w:val="21"/>
              </w:rPr>
              <w:t>年度收入情况（万元）</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717" w:hRule="atLeast"/>
        </w:trPr>
        <w:tc>
          <w:tcPr>
            <w:tcW w:w="1123" w:type="dxa"/>
            <w:vMerge w:val="restart"/>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机构名称</w:t>
            </w:r>
          </w:p>
        </w:tc>
        <w:tc>
          <w:tcPr>
            <w:tcW w:w="1104" w:type="dxa"/>
            <w:gridSpan w:val="3"/>
            <w:vMerge w:val="restart"/>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收入合计</w:t>
            </w:r>
          </w:p>
        </w:tc>
        <w:tc>
          <w:tcPr>
            <w:tcW w:w="7091" w:type="dxa"/>
            <w:gridSpan w:val="1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kern w:val="0"/>
                <w:szCs w:val="21"/>
              </w:rPr>
              <w:t>其中：</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873" w:hRule="atLeast"/>
        </w:trPr>
        <w:tc>
          <w:tcPr>
            <w:tcW w:w="1123" w:type="dxa"/>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pPr>
          </w:p>
        </w:tc>
        <w:tc>
          <w:tcPr>
            <w:tcW w:w="1104" w:type="dxa"/>
            <w:gridSpan w:val="3"/>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pPr>
          </w:p>
        </w:tc>
        <w:tc>
          <w:tcPr>
            <w:tcW w:w="1020"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上年结转</w:t>
            </w:r>
          </w:p>
        </w:tc>
        <w:tc>
          <w:tcPr>
            <w:tcW w:w="1128"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公共财政</w:t>
            </w:r>
          </w:p>
          <w:p>
            <w:pPr>
              <w:widowControl/>
              <w:spacing w:line="300" w:lineRule="exact"/>
              <w:jc w:val="center"/>
              <w:rPr>
                <w:rFonts w:hint="eastAsia" w:ascii="宋体" w:cs="宋体"/>
                <w:kern w:val="0"/>
                <w:szCs w:val="21"/>
              </w:rPr>
            </w:pPr>
            <w:r>
              <w:rPr>
                <w:rFonts w:hint="eastAsia" w:ascii="宋体" w:cs="宋体"/>
                <w:kern w:val="0"/>
                <w:szCs w:val="21"/>
              </w:rPr>
              <w:t>拨款</w:t>
            </w:r>
          </w:p>
        </w:tc>
        <w:tc>
          <w:tcPr>
            <w:tcW w:w="1272"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政府基金</w:t>
            </w:r>
          </w:p>
          <w:p>
            <w:pPr>
              <w:widowControl/>
              <w:spacing w:line="300" w:lineRule="exact"/>
              <w:jc w:val="center"/>
              <w:rPr>
                <w:rFonts w:hint="eastAsia" w:ascii="宋体" w:cs="宋体"/>
                <w:kern w:val="0"/>
                <w:szCs w:val="21"/>
              </w:rPr>
            </w:pPr>
            <w:r>
              <w:rPr>
                <w:rFonts w:hint="eastAsia" w:ascii="宋体" w:cs="宋体"/>
                <w:kern w:val="0"/>
                <w:szCs w:val="21"/>
              </w:rPr>
              <w:t>拨款</w:t>
            </w:r>
          </w:p>
        </w:tc>
        <w:tc>
          <w:tcPr>
            <w:tcW w:w="1688"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纳入专户管理的非税收入拨款</w:t>
            </w:r>
          </w:p>
        </w:tc>
        <w:tc>
          <w:tcPr>
            <w:tcW w:w="198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其他收入</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1314"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210" w:firstLineChars="100"/>
              <w:rPr>
                <w:rFonts w:hint="eastAsia" w:ascii="宋体" w:eastAsia="宋体" w:cs="宋体"/>
                <w:kern w:val="0"/>
                <w:szCs w:val="21"/>
                <w:lang w:eastAsia="zh-CN"/>
              </w:rPr>
            </w:pPr>
            <w:r>
              <w:rPr>
                <w:rFonts w:hint="eastAsia" w:ascii="宋体" w:cs="宋体"/>
                <w:kern w:val="0"/>
                <w:szCs w:val="21"/>
                <w:lang w:eastAsia="zh-CN"/>
              </w:rPr>
              <w:t>政府办本级</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lang w:val="en-US" w:eastAsia="zh-CN"/>
              </w:rPr>
              <w:t>1240.71</w:t>
            </w:r>
          </w:p>
        </w:tc>
        <w:tc>
          <w:tcPr>
            <w:tcW w:w="1020"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128"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lang w:val="en-US" w:eastAsia="zh-CN"/>
              </w:rPr>
              <w:t>1240.71</w:t>
            </w:r>
          </w:p>
        </w:tc>
        <w:tc>
          <w:tcPr>
            <w:tcW w:w="1272"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688"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98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46"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1、局机关</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020"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128"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272"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688"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98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17"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2、二级机构1</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020"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128"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272"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688"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98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17"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3、二级机构2</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020"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128"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272"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688"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98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376" w:hRule="atLeast"/>
        </w:trPr>
        <w:tc>
          <w:tcPr>
            <w:tcW w:w="9318" w:type="dxa"/>
            <w:gridSpan w:val="1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b/>
                <w:bCs/>
                <w:kern w:val="0"/>
                <w:szCs w:val="21"/>
              </w:rPr>
              <w:t>部门（单位）年度支出和结余情况（万元）</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556" w:hRule="atLeast"/>
        </w:trPr>
        <w:tc>
          <w:tcPr>
            <w:tcW w:w="1123" w:type="dxa"/>
            <w:vMerge w:val="restart"/>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机构名称</w:t>
            </w:r>
          </w:p>
        </w:tc>
        <w:tc>
          <w:tcPr>
            <w:tcW w:w="1104" w:type="dxa"/>
            <w:gridSpan w:val="3"/>
            <w:vMerge w:val="restart"/>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支出合计</w:t>
            </w:r>
          </w:p>
        </w:tc>
        <w:tc>
          <w:tcPr>
            <w:tcW w:w="5077" w:type="dxa"/>
            <w:gridSpan w:val="10"/>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jc w:val="center"/>
              <w:rPr>
                <w:rFonts w:hint="eastAsia" w:ascii="宋体" w:cs="宋体"/>
                <w:kern w:val="0"/>
                <w:szCs w:val="21"/>
              </w:rPr>
            </w:pPr>
            <w:r>
              <w:rPr>
                <w:rFonts w:hint="eastAsia" w:ascii="宋体" w:cs="宋体"/>
                <w:kern w:val="0"/>
                <w:szCs w:val="21"/>
              </w:rPr>
              <w:t>其中：</w:t>
            </w:r>
          </w:p>
        </w:tc>
        <w:tc>
          <w:tcPr>
            <w:tcW w:w="2014" w:type="dxa"/>
            <w:gridSpan w:val="2"/>
            <w:vMerge w:val="restart"/>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结   余</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630" w:hRule="atLeast"/>
        </w:trPr>
        <w:tc>
          <w:tcPr>
            <w:tcW w:w="1123" w:type="dxa"/>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jc w:val="center"/>
            </w:pPr>
          </w:p>
        </w:tc>
        <w:tc>
          <w:tcPr>
            <w:tcW w:w="1104" w:type="dxa"/>
            <w:gridSpan w:val="3"/>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jc w:val="center"/>
            </w:pPr>
          </w:p>
        </w:tc>
        <w:tc>
          <w:tcPr>
            <w:tcW w:w="1020" w:type="dxa"/>
            <w:gridSpan w:val="2"/>
            <w:vMerge w:val="restart"/>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基本支出</w:t>
            </w:r>
          </w:p>
        </w:tc>
        <w:tc>
          <w:tcPr>
            <w:tcW w:w="2869" w:type="dxa"/>
            <w:gridSpan w:val="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jc w:val="center"/>
              <w:rPr>
                <w:rFonts w:hint="eastAsia" w:ascii="宋体" w:cs="宋体"/>
                <w:kern w:val="0"/>
                <w:szCs w:val="21"/>
              </w:rPr>
            </w:pPr>
            <w:r>
              <w:rPr>
                <w:rFonts w:hint="eastAsia" w:ascii="宋体" w:cs="宋体"/>
                <w:kern w:val="0"/>
                <w:szCs w:val="21"/>
              </w:rPr>
              <w:t>其中：</w:t>
            </w:r>
          </w:p>
        </w:tc>
        <w:tc>
          <w:tcPr>
            <w:tcW w:w="1188" w:type="dxa"/>
            <w:gridSpan w:val="2"/>
            <w:vMerge w:val="restart"/>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项目支出</w:t>
            </w:r>
          </w:p>
        </w:tc>
        <w:tc>
          <w:tcPr>
            <w:tcW w:w="2014" w:type="dxa"/>
            <w:gridSpan w:val="2"/>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jc w:val="cente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606" w:hRule="atLeast"/>
        </w:trPr>
        <w:tc>
          <w:tcPr>
            <w:tcW w:w="1123" w:type="dxa"/>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jc w:val="center"/>
            </w:pPr>
          </w:p>
        </w:tc>
        <w:tc>
          <w:tcPr>
            <w:tcW w:w="1104" w:type="dxa"/>
            <w:gridSpan w:val="3"/>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jc w:val="center"/>
            </w:pPr>
          </w:p>
        </w:tc>
        <w:tc>
          <w:tcPr>
            <w:tcW w:w="1020" w:type="dxa"/>
            <w:gridSpan w:val="2"/>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jc w:val="center"/>
            </w:pPr>
          </w:p>
        </w:tc>
        <w:tc>
          <w:tcPr>
            <w:tcW w:w="1476"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人员支出</w:t>
            </w:r>
          </w:p>
        </w:tc>
        <w:tc>
          <w:tcPr>
            <w:tcW w:w="1393"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公用支出</w:t>
            </w:r>
          </w:p>
        </w:tc>
        <w:tc>
          <w:tcPr>
            <w:tcW w:w="1188" w:type="dxa"/>
            <w:gridSpan w:val="2"/>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jc w:val="center"/>
            </w:pPr>
          </w:p>
        </w:tc>
        <w:tc>
          <w:tcPr>
            <w:tcW w:w="2014" w:type="dxa"/>
            <w:gridSpan w:val="2"/>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jc w:val="cente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1029"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210" w:firstLineChars="100"/>
              <w:jc w:val="left"/>
              <w:rPr>
                <w:rFonts w:hint="eastAsia" w:ascii="宋体" w:eastAsia="宋体" w:cs="宋体"/>
                <w:kern w:val="0"/>
                <w:szCs w:val="21"/>
                <w:lang w:eastAsia="zh-CN"/>
              </w:rPr>
            </w:pPr>
            <w:r>
              <w:rPr>
                <w:rFonts w:hint="eastAsia" w:ascii="宋体" w:cs="宋体"/>
                <w:kern w:val="0"/>
                <w:szCs w:val="21"/>
                <w:lang w:eastAsia="zh-CN"/>
              </w:rPr>
              <w:t>政府办本级</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lang w:val="en-US" w:eastAsia="zh-CN"/>
              </w:rPr>
              <w:t>1240.71</w:t>
            </w:r>
          </w:p>
        </w:tc>
        <w:tc>
          <w:tcPr>
            <w:tcW w:w="1020"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lang w:val="en-US" w:eastAsia="zh-CN"/>
              </w:rPr>
              <w:t>1240.71</w:t>
            </w:r>
          </w:p>
        </w:tc>
        <w:tc>
          <w:tcPr>
            <w:tcW w:w="1476"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lang w:val="en-US" w:eastAsia="zh-CN"/>
              </w:rPr>
              <w:t>875.14</w:t>
            </w:r>
          </w:p>
        </w:tc>
        <w:tc>
          <w:tcPr>
            <w:tcW w:w="1393"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lang w:val="en-US" w:eastAsia="zh-CN"/>
              </w:rPr>
              <w:t>365.57</w:t>
            </w:r>
          </w:p>
        </w:tc>
        <w:tc>
          <w:tcPr>
            <w:tcW w:w="1188"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38"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1、局机关</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020"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476"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393"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188"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813"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2、二级机构1</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020"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476"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393"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188"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90"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3、二级机构2</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020"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476"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393"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188"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395" w:hRule="atLeast"/>
        </w:trPr>
        <w:tc>
          <w:tcPr>
            <w:tcW w:w="1123" w:type="dxa"/>
            <w:vMerge w:val="restart"/>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机构名称</w:t>
            </w:r>
          </w:p>
        </w:tc>
        <w:tc>
          <w:tcPr>
            <w:tcW w:w="1104" w:type="dxa"/>
            <w:gridSpan w:val="3"/>
            <w:vMerge w:val="restart"/>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三公经费</w:t>
            </w:r>
          </w:p>
          <w:p>
            <w:pPr>
              <w:widowControl/>
              <w:spacing w:line="300" w:lineRule="exact"/>
              <w:jc w:val="center"/>
              <w:rPr>
                <w:rFonts w:hint="eastAsia" w:ascii="宋体" w:cs="宋体"/>
                <w:kern w:val="0"/>
                <w:szCs w:val="21"/>
              </w:rPr>
            </w:pPr>
            <w:r>
              <w:rPr>
                <w:rFonts w:hint="eastAsia" w:ascii="宋体" w:cs="宋体"/>
                <w:kern w:val="0"/>
                <w:szCs w:val="21"/>
              </w:rPr>
              <w:t>合 计</w:t>
            </w:r>
          </w:p>
        </w:tc>
        <w:tc>
          <w:tcPr>
            <w:tcW w:w="7091" w:type="dxa"/>
            <w:gridSpan w:val="1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kern w:val="0"/>
                <w:szCs w:val="21"/>
              </w:rPr>
              <w:t>其中：</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712" w:hRule="atLeast"/>
        </w:trPr>
        <w:tc>
          <w:tcPr>
            <w:tcW w:w="1123" w:type="dxa"/>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pPr>
          </w:p>
        </w:tc>
        <w:tc>
          <w:tcPr>
            <w:tcW w:w="1104" w:type="dxa"/>
            <w:gridSpan w:val="3"/>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pPr>
          </w:p>
        </w:tc>
        <w:tc>
          <w:tcPr>
            <w:tcW w:w="1535"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公务接待费</w:t>
            </w:r>
          </w:p>
        </w:tc>
        <w:tc>
          <w:tcPr>
            <w:tcW w:w="1885"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105" w:firstLineChars="50"/>
              <w:jc w:val="center"/>
              <w:rPr>
                <w:rFonts w:hint="eastAsia" w:ascii="宋体" w:cs="宋体"/>
                <w:kern w:val="0"/>
                <w:szCs w:val="21"/>
              </w:rPr>
            </w:pPr>
            <w:r>
              <w:rPr>
                <w:rFonts w:hint="eastAsia" w:ascii="宋体" w:cs="宋体"/>
                <w:kern w:val="0"/>
                <w:szCs w:val="21"/>
              </w:rPr>
              <w:t>公务用车运维费</w:t>
            </w:r>
          </w:p>
        </w:tc>
        <w:tc>
          <w:tcPr>
            <w:tcW w:w="1657"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105" w:firstLineChars="50"/>
              <w:jc w:val="center"/>
              <w:rPr>
                <w:rFonts w:hint="eastAsia" w:ascii="宋体" w:cs="宋体"/>
                <w:kern w:val="0"/>
                <w:szCs w:val="21"/>
              </w:rPr>
            </w:pPr>
            <w:r>
              <w:rPr>
                <w:rFonts w:hint="eastAsia" w:ascii="宋体" w:cs="宋体"/>
                <w:kern w:val="0"/>
                <w:szCs w:val="21"/>
              </w:rPr>
              <w:t>公务用车购置费</w:t>
            </w:r>
          </w:p>
        </w:tc>
        <w:tc>
          <w:tcPr>
            <w:tcW w:w="2014"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20" w:firstLineChars="200"/>
              <w:jc w:val="both"/>
              <w:rPr>
                <w:rFonts w:hint="eastAsia" w:ascii="宋体" w:cs="宋体"/>
                <w:kern w:val="0"/>
                <w:szCs w:val="21"/>
              </w:rPr>
            </w:pPr>
            <w:r>
              <w:rPr>
                <w:rFonts w:hint="eastAsia" w:ascii="宋体" w:cs="宋体"/>
                <w:kern w:val="0"/>
                <w:szCs w:val="21"/>
              </w:rPr>
              <w:t>因公出国费</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980"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lang w:eastAsia="zh-CN"/>
              </w:rPr>
              <w:t>政府办本级</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eastAsia="宋体" w:cs="宋体"/>
                <w:kern w:val="0"/>
                <w:szCs w:val="21"/>
                <w:lang w:val="en-US" w:eastAsia="zh-CN"/>
              </w:rPr>
            </w:pPr>
            <w:r>
              <w:rPr>
                <w:rFonts w:hint="eastAsia" w:ascii="宋体" w:cs="宋体"/>
                <w:kern w:val="0"/>
                <w:szCs w:val="21"/>
                <w:lang w:val="en-US" w:eastAsia="zh-CN"/>
              </w:rPr>
              <w:t>20.48</w:t>
            </w:r>
          </w:p>
        </w:tc>
        <w:tc>
          <w:tcPr>
            <w:tcW w:w="1535"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eastAsia="宋体" w:cs="宋体"/>
                <w:kern w:val="0"/>
                <w:szCs w:val="21"/>
                <w:lang w:val="en-US" w:eastAsia="zh-CN"/>
              </w:rPr>
            </w:pPr>
            <w:r>
              <w:rPr>
                <w:rFonts w:hint="eastAsia" w:ascii="宋体" w:cs="宋体"/>
                <w:kern w:val="0"/>
                <w:szCs w:val="21"/>
                <w:lang w:val="en-US" w:eastAsia="zh-CN"/>
              </w:rPr>
              <w:t>12.97</w:t>
            </w:r>
          </w:p>
        </w:tc>
        <w:tc>
          <w:tcPr>
            <w:tcW w:w="1885"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eastAsia="宋体" w:cs="宋体"/>
                <w:kern w:val="0"/>
                <w:szCs w:val="21"/>
                <w:lang w:val="en-US" w:eastAsia="zh-CN"/>
              </w:rPr>
            </w:pPr>
            <w:r>
              <w:rPr>
                <w:rFonts w:hint="eastAsia" w:ascii="宋体" w:cs="宋体"/>
                <w:kern w:val="0"/>
                <w:szCs w:val="21"/>
                <w:lang w:val="en-US" w:eastAsia="zh-CN"/>
              </w:rPr>
              <w:t>7.51</w:t>
            </w:r>
          </w:p>
        </w:tc>
        <w:tc>
          <w:tcPr>
            <w:tcW w:w="1657"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17"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1、局机关</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535"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885"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657"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61"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2、二级机构1</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535"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885"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657"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39"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3、二级机构2</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535"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885"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1657"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678" w:hRule="atLeast"/>
        </w:trPr>
        <w:tc>
          <w:tcPr>
            <w:tcW w:w="1123" w:type="dxa"/>
            <w:vMerge w:val="restart"/>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机构名称</w:t>
            </w:r>
          </w:p>
        </w:tc>
        <w:tc>
          <w:tcPr>
            <w:tcW w:w="1104" w:type="dxa"/>
            <w:gridSpan w:val="3"/>
            <w:vMerge w:val="restart"/>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rPr>
                <w:rFonts w:hint="eastAsia" w:ascii="宋体" w:cs="宋体"/>
                <w:kern w:val="0"/>
                <w:szCs w:val="21"/>
              </w:rPr>
            </w:pPr>
            <w:r>
              <w:rPr>
                <w:rFonts w:hint="eastAsia" w:ascii="宋体" w:cs="宋体"/>
                <w:kern w:val="0"/>
                <w:szCs w:val="21"/>
              </w:rPr>
              <w:t>固定资产</w:t>
            </w:r>
          </w:p>
          <w:p>
            <w:pPr>
              <w:widowControl/>
              <w:spacing w:line="300" w:lineRule="exact"/>
              <w:rPr>
                <w:rFonts w:hint="eastAsia" w:ascii="宋体" w:cs="宋体"/>
                <w:kern w:val="0"/>
                <w:szCs w:val="21"/>
              </w:rPr>
            </w:pPr>
            <w:r>
              <w:rPr>
                <w:rFonts w:hint="eastAsia" w:ascii="宋体" w:cs="宋体"/>
                <w:kern w:val="0"/>
                <w:szCs w:val="21"/>
              </w:rPr>
              <w:t>合 计</w:t>
            </w:r>
          </w:p>
        </w:tc>
        <w:tc>
          <w:tcPr>
            <w:tcW w:w="5077" w:type="dxa"/>
            <w:gridSpan w:val="10"/>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kern w:val="0"/>
                <w:szCs w:val="21"/>
              </w:rPr>
              <w:t>其中：</w:t>
            </w:r>
          </w:p>
        </w:tc>
        <w:tc>
          <w:tcPr>
            <w:tcW w:w="2014" w:type="dxa"/>
            <w:gridSpan w:val="2"/>
            <w:vMerge w:val="restart"/>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其  他</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873" w:hRule="atLeast"/>
        </w:trPr>
        <w:tc>
          <w:tcPr>
            <w:tcW w:w="1123" w:type="dxa"/>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pPr>
          </w:p>
        </w:tc>
        <w:tc>
          <w:tcPr>
            <w:tcW w:w="1104" w:type="dxa"/>
            <w:gridSpan w:val="3"/>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pPr>
          </w:p>
        </w:tc>
        <w:tc>
          <w:tcPr>
            <w:tcW w:w="2496" w:type="dxa"/>
            <w:gridSpan w:val="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kern w:val="0"/>
                <w:szCs w:val="21"/>
              </w:rPr>
              <w:t>在用固定资产</w:t>
            </w:r>
          </w:p>
        </w:tc>
        <w:tc>
          <w:tcPr>
            <w:tcW w:w="2581"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kern w:val="0"/>
                <w:szCs w:val="21"/>
              </w:rPr>
              <w:t>出租固定资产</w:t>
            </w:r>
          </w:p>
        </w:tc>
        <w:tc>
          <w:tcPr>
            <w:tcW w:w="2014" w:type="dxa"/>
            <w:gridSpan w:val="2"/>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1029"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left="105" w:hanging="105" w:hangingChars="50"/>
              <w:rPr>
                <w:rFonts w:hint="eastAsia" w:ascii="宋体" w:eastAsia="宋体" w:cs="宋体"/>
                <w:kern w:val="0"/>
                <w:szCs w:val="21"/>
                <w:lang w:eastAsia="zh-CN"/>
              </w:rPr>
            </w:pPr>
            <w:r>
              <w:rPr>
                <w:rFonts w:hint="eastAsia" w:ascii="宋体" w:cs="宋体"/>
                <w:kern w:val="0"/>
                <w:szCs w:val="21"/>
                <w:lang w:eastAsia="zh-CN"/>
              </w:rPr>
              <w:t>政府办本级</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lang w:val="en-US" w:eastAsia="zh-CN"/>
              </w:rPr>
              <w:t>1462.22</w:t>
            </w:r>
          </w:p>
        </w:tc>
        <w:tc>
          <w:tcPr>
            <w:tcW w:w="2496" w:type="dxa"/>
            <w:gridSpan w:val="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lang w:val="en-US" w:eastAsia="zh-CN"/>
              </w:rPr>
              <w:t>1462.22</w:t>
            </w:r>
          </w:p>
        </w:tc>
        <w:tc>
          <w:tcPr>
            <w:tcW w:w="2581"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931"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1、局机关</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496" w:type="dxa"/>
            <w:gridSpan w:val="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581"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17"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2、二级机构1</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496" w:type="dxa"/>
            <w:gridSpan w:val="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581"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946" w:hRule="atLeast"/>
        </w:trPr>
        <w:tc>
          <w:tcPr>
            <w:tcW w:w="1123" w:type="dxa"/>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3、二级机构2</w:t>
            </w:r>
          </w:p>
        </w:tc>
        <w:tc>
          <w:tcPr>
            <w:tcW w:w="110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496" w:type="dxa"/>
            <w:gridSpan w:val="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581"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03" w:hRule="atLeast"/>
        </w:trPr>
        <w:tc>
          <w:tcPr>
            <w:tcW w:w="9318" w:type="dxa"/>
            <w:gridSpan w:val="1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b/>
                <w:bCs/>
                <w:kern w:val="0"/>
                <w:szCs w:val="21"/>
              </w:rPr>
              <w:t>三、部门（单位）整体支出绩效自评情况</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703" w:hRule="atLeast"/>
        </w:trPr>
        <w:tc>
          <w:tcPr>
            <w:tcW w:w="1274" w:type="dxa"/>
            <w:gridSpan w:val="2"/>
            <w:vMerge w:val="restart"/>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整体支出绩效定性目标及实施计划完成情况</w:t>
            </w:r>
          </w:p>
        </w:tc>
        <w:tc>
          <w:tcPr>
            <w:tcW w:w="3301" w:type="dxa"/>
            <w:gridSpan w:val="7"/>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预期目标</w:t>
            </w:r>
          </w:p>
        </w:tc>
        <w:tc>
          <w:tcPr>
            <w:tcW w:w="4743" w:type="dxa"/>
            <w:gridSpan w:val="7"/>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实际完成</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3273" w:hRule="atLeast"/>
        </w:trPr>
        <w:tc>
          <w:tcPr>
            <w:tcW w:w="1274" w:type="dxa"/>
            <w:gridSpan w:val="2"/>
            <w:vMerge w:val="continue"/>
            <w:tcBorders>
              <w:top w:val="outset" w:color="000000" w:sz="6" w:space="0"/>
              <w:left w:val="outset" w:color="000000" w:sz="6" w:space="0"/>
              <w:bottom w:val="outset" w:color="000000" w:sz="6" w:space="0"/>
              <w:right w:val="outset" w:color="000000" w:sz="6" w:space="0"/>
            </w:tcBorders>
            <w:noWrap w:val="0"/>
            <w:vAlign w:val="center"/>
          </w:tcPr>
          <w:p>
            <w:pPr>
              <w:spacing w:line="300" w:lineRule="exact"/>
            </w:pPr>
          </w:p>
        </w:tc>
        <w:tc>
          <w:tcPr>
            <w:tcW w:w="3301" w:type="dxa"/>
            <w:gridSpan w:val="7"/>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lang w:val="en-US" w:eastAsia="zh-CN"/>
              </w:rPr>
            </w:pPr>
            <w:r>
              <w:rPr>
                <w:rFonts w:hint="eastAsia" w:ascii="宋体" w:cs="宋体"/>
                <w:kern w:val="0"/>
                <w:szCs w:val="21"/>
                <w:lang w:val="en-US" w:eastAsia="zh-CN"/>
              </w:rPr>
              <w:t>（1）持之以恒抓实党建。</w:t>
            </w:r>
            <w:r>
              <w:rPr>
                <w:rFonts w:hint="eastAsia" w:ascii="宋体" w:cs="宋体"/>
                <w:kern w:val="0"/>
                <w:szCs w:val="21"/>
                <w:lang w:eastAsia="zh-CN"/>
              </w:rPr>
              <w:t>（</w:t>
            </w:r>
            <w:r>
              <w:rPr>
                <w:rFonts w:hint="eastAsia" w:ascii="宋体" w:cs="宋体"/>
                <w:kern w:val="0"/>
                <w:szCs w:val="21"/>
                <w:lang w:val="en-US" w:eastAsia="zh-CN"/>
              </w:rPr>
              <w:t>2</w:t>
            </w:r>
            <w:r>
              <w:rPr>
                <w:rFonts w:hint="eastAsia" w:ascii="宋体" w:cs="宋体"/>
                <w:kern w:val="0"/>
                <w:szCs w:val="21"/>
                <w:lang w:eastAsia="zh-CN"/>
              </w:rPr>
              <w:t>）全力以赴做好督查督办。（</w:t>
            </w:r>
            <w:r>
              <w:rPr>
                <w:rFonts w:hint="eastAsia" w:ascii="宋体" w:cs="宋体"/>
                <w:kern w:val="0"/>
                <w:szCs w:val="21"/>
                <w:lang w:val="en-US" w:eastAsia="zh-CN"/>
              </w:rPr>
              <w:t>3</w:t>
            </w:r>
            <w:r>
              <w:rPr>
                <w:rFonts w:hint="eastAsia" w:ascii="宋体" w:cs="宋体"/>
                <w:kern w:val="0"/>
                <w:szCs w:val="21"/>
                <w:lang w:eastAsia="zh-CN"/>
              </w:rPr>
              <w:t>）高瞻深入开展调查研究。（</w:t>
            </w:r>
            <w:r>
              <w:rPr>
                <w:rFonts w:hint="eastAsia" w:ascii="宋体" w:cs="宋体"/>
                <w:kern w:val="0"/>
                <w:szCs w:val="21"/>
                <w:lang w:val="en-US" w:eastAsia="zh-CN"/>
              </w:rPr>
              <w:t>4</w:t>
            </w:r>
            <w:r>
              <w:rPr>
                <w:rFonts w:hint="eastAsia" w:ascii="宋体" w:cs="宋体"/>
                <w:kern w:val="0"/>
                <w:szCs w:val="21"/>
                <w:lang w:eastAsia="zh-CN"/>
              </w:rPr>
              <w:t>）积极开展优化经济环境工作。（</w:t>
            </w:r>
            <w:r>
              <w:rPr>
                <w:rFonts w:hint="eastAsia" w:ascii="宋体" w:cs="宋体"/>
                <w:kern w:val="0"/>
                <w:szCs w:val="21"/>
                <w:lang w:val="en-US" w:eastAsia="zh-CN"/>
              </w:rPr>
              <w:t>5</w:t>
            </w:r>
            <w:r>
              <w:rPr>
                <w:rFonts w:hint="eastAsia" w:ascii="宋体" w:cs="宋体"/>
                <w:kern w:val="0"/>
                <w:szCs w:val="21"/>
                <w:lang w:eastAsia="zh-CN"/>
              </w:rPr>
              <w:t>）全面推进协调服务工作。（</w:t>
            </w:r>
            <w:r>
              <w:rPr>
                <w:rFonts w:hint="eastAsia" w:ascii="宋体" w:cs="宋体"/>
                <w:kern w:val="0"/>
                <w:szCs w:val="21"/>
                <w:lang w:val="en-US" w:eastAsia="zh-CN"/>
              </w:rPr>
              <w:t>6</w:t>
            </w:r>
            <w:r>
              <w:rPr>
                <w:rFonts w:hint="eastAsia" w:ascii="宋体" w:cs="宋体"/>
                <w:kern w:val="0"/>
                <w:szCs w:val="21"/>
                <w:lang w:eastAsia="zh-CN"/>
              </w:rPr>
              <w:t>）多措并举推动禁毒工作</w:t>
            </w:r>
            <w:r>
              <w:rPr>
                <w:rFonts w:hint="eastAsia" w:ascii="宋体" w:cs="宋体"/>
                <w:kern w:val="0"/>
                <w:szCs w:val="21"/>
                <w:lang w:val="en-US" w:eastAsia="zh-CN"/>
              </w:rPr>
              <w:t>,</w:t>
            </w:r>
            <w:r>
              <w:rPr>
                <w:rFonts w:hint="eastAsia" w:ascii="宋体" w:cs="宋体"/>
                <w:kern w:val="0"/>
                <w:szCs w:val="21"/>
                <w:lang w:eastAsia="zh-CN"/>
              </w:rPr>
              <w:t>不断加强禁毒教育，严厉打击涉毒、贩毒、吸毒人员，禁毒工作进入怀化市先进行列。（</w:t>
            </w:r>
            <w:r>
              <w:rPr>
                <w:rFonts w:hint="eastAsia" w:ascii="宋体" w:cs="宋体"/>
                <w:kern w:val="0"/>
                <w:szCs w:val="21"/>
                <w:lang w:val="en-US" w:eastAsia="zh-CN"/>
              </w:rPr>
              <w:t>7</w:t>
            </w:r>
            <w:r>
              <w:rPr>
                <w:rFonts w:hint="eastAsia" w:ascii="宋体" w:cs="宋体"/>
                <w:kern w:val="0"/>
                <w:szCs w:val="21"/>
                <w:lang w:eastAsia="zh-CN"/>
              </w:rPr>
              <w:t>）多方联动保障道路安全。（</w:t>
            </w:r>
            <w:r>
              <w:rPr>
                <w:rFonts w:hint="eastAsia" w:ascii="宋体" w:cs="宋体"/>
                <w:kern w:val="0"/>
                <w:szCs w:val="21"/>
                <w:lang w:val="en-US" w:eastAsia="zh-CN"/>
              </w:rPr>
              <w:t>8</w:t>
            </w:r>
            <w:r>
              <w:rPr>
                <w:rFonts w:hint="eastAsia" w:ascii="宋体" w:cs="宋体"/>
                <w:kern w:val="0"/>
                <w:szCs w:val="21"/>
                <w:lang w:eastAsia="zh-CN"/>
              </w:rPr>
              <w:t>）凝心聚力发展中药材产业</w:t>
            </w:r>
            <w:r>
              <w:rPr>
                <w:rFonts w:hint="eastAsia" w:ascii="宋体" w:cs="宋体"/>
                <w:kern w:val="0"/>
                <w:szCs w:val="21"/>
                <w:lang w:val="en-US" w:eastAsia="zh-CN"/>
              </w:rPr>
              <w:t>。</w:t>
            </w:r>
            <w:r>
              <w:rPr>
                <w:rFonts w:hint="eastAsia" w:ascii="宋体" w:cs="宋体"/>
                <w:kern w:val="0"/>
                <w:szCs w:val="21"/>
                <w:lang w:eastAsia="zh-CN"/>
              </w:rPr>
              <w:t>（</w:t>
            </w:r>
            <w:r>
              <w:rPr>
                <w:rFonts w:hint="eastAsia" w:ascii="宋体" w:cs="宋体"/>
                <w:kern w:val="0"/>
                <w:szCs w:val="21"/>
                <w:lang w:val="en-US" w:eastAsia="zh-CN"/>
              </w:rPr>
              <w:t>9</w:t>
            </w:r>
            <w:r>
              <w:rPr>
                <w:rFonts w:hint="eastAsia" w:ascii="宋体" w:cs="宋体"/>
                <w:kern w:val="0"/>
                <w:szCs w:val="21"/>
                <w:lang w:eastAsia="zh-CN"/>
              </w:rPr>
              <w:t>）持续发力推动财税金融工作，力推“两行”开业，支持企业复工复产，推进不良贷款清收。（</w:t>
            </w:r>
            <w:r>
              <w:rPr>
                <w:rFonts w:hint="eastAsia" w:ascii="宋体" w:cs="宋体"/>
                <w:kern w:val="0"/>
                <w:szCs w:val="21"/>
                <w:lang w:val="en-US" w:eastAsia="zh-CN"/>
              </w:rPr>
              <w:t>10</w:t>
            </w:r>
            <w:r>
              <w:rPr>
                <w:rFonts w:hint="eastAsia" w:ascii="宋体" w:cs="宋体"/>
                <w:kern w:val="0"/>
                <w:szCs w:val="21"/>
                <w:lang w:eastAsia="zh-CN"/>
              </w:rPr>
              <w:t>）以贯之做好脱贫攻坚工作。（</w:t>
            </w:r>
            <w:r>
              <w:rPr>
                <w:rFonts w:hint="eastAsia" w:ascii="宋体" w:cs="宋体"/>
                <w:kern w:val="0"/>
                <w:szCs w:val="21"/>
                <w:lang w:val="en-US" w:eastAsia="zh-CN"/>
              </w:rPr>
              <w:t>11</w:t>
            </w:r>
            <w:r>
              <w:rPr>
                <w:rFonts w:hint="eastAsia" w:ascii="宋体" w:cs="宋体"/>
                <w:kern w:val="0"/>
                <w:szCs w:val="21"/>
                <w:lang w:eastAsia="zh-CN"/>
              </w:rPr>
              <w:t>）有效推进深化“放管服”工作。（</w:t>
            </w:r>
            <w:r>
              <w:rPr>
                <w:rFonts w:hint="eastAsia" w:ascii="宋体" w:cs="宋体"/>
                <w:kern w:val="0"/>
                <w:szCs w:val="21"/>
                <w:lang w:val="en-US" w:eastAsia="zh-CN"/>
              </w:rPr>
              <w:t>12</w:t>
            </w:r>
            <w:r>
              <w:rPr>
                <w:rFonts w:hint="eastAsia" w:ascii="宋体" w:cs="宋体"/>
                <w:kern w:val="0"/>
                <w:szCs w:val="21"/>
                <w:lang w:eastAsia="zh-CN"/>
              </w:rPr>
              <w:t>）强化职能做好机要人事工作。（</w:t>
            </w:r>
            <w:r>
              <w:rPr>
                <w:rFonts w:hint="eastAsia" w:ascii="宋体" w:cs="宋体"/>
                <w:kern w:val="0"/>
                <w:szCs w:val="21"/>
                <w:lang w:val="en-US" w:eastAsia="zh-CN"/>
              </w:rPr>
              <w:t>13</w:t>
            </w:r>
            <w:r>
              <w:rPr>
                <w:rFonts w:hint="eastAsia" w:ascii="宋体" w:cs="宋体"/>
                <w:kern w:val="0"/>
                <w:szCs w:val="21"/>
                <w:lang w:eastAsia="zh-CN"/>
              </w:rPr>
              <w:t>）保驾护航做好行政事务管理室工作。（</w:t>
            </w:r>
            <w:r>
              <w:rPr>
                <w:rFonts w:hint="eastAsia" w:ascii="宋体" w:cs="宋体"/>
                <w:kern w:val="0"/>
                <w:szCs w:val="21"/>
                <w:lang w:val="en-US" w:eastAsia="zh-CN"/>
              </w:rPr>
              <w:t>14</w:t>
            </w:r>
            <w:r>
              <w:rPr>
                <w:rFonts w:hint="eastAsia" w:ascii="宋体" w:cs="宋体"/>
                <w:kern w:val="0"/>
                <w:szCs w:val="21"/>
                <w:lang w:eastAsia="zh-CN"/>
              </w:rPr>
              <w:t>）出谋划策力推柑橘产业发展工作。</w:t>
            </w:r>
          </w:p>
          <w:p>
            <w:pPr>
              <w:widowControl/>
              <w:spacing w:line="300" w:lineRule="exact"/>
              <w:ind w:firstLine="480"/>
              <w:rPr>
                <w:rFonts w:hint="eastAsia" w:ascii="宋体" w:cs="宋体"/>
                <w:kern w:val="0"/>
                <w:szCs w:val="21"/>
              </w:rPr>
            </w:pPr>
          </w:p>
        </w:tc>
        <w:tc>
          <w:tcPr>
            <w:tcW w:w="4743" w:type="dxa"/>
            <w:gridSpan w:val="7"/>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lang w:val="en-US" w:eastAsia="zh-CN"/>
              </w:rPr>
            </w:pPr>
            <w:r>
              <w:rPr>
                <w:rFonts w:hint="eastAsia" w:ascii="宋体" w:cs="宋体"/>
                <w:kern w:val="0"/>
                <w:szCs w:val="21"/>
                <w:lang w:val="en-US" w:eastAsia="zh-CN"/>
              </w:rPr>
              <w:t>（1）持之以恒抓实党建。</w:t>
            </w:r>
            <w:r>
              <w:rPr>
                <w:rFonts w:hint="eastAsia" w:ascii="宋体" w:cs="宋体"/>
                <w:kern w:val="0"/>
                <w:szCs w:val="21"/>
                <w:lang w:eastAsia="zh-CN"/>
              </w:rPr>
              <w:t>（</w:t>
            </w:r>
            <w:r>
              <w:rPr>
                <w:rFonts w:hint="eastAsia" w:ascii="宋体" w:cs="宋体"/>
                <w:kern w:val="0"/>
                <w:szCs w:val="21"/>
                <w:lang w:val="en-US" w:eastAsia="zh-CN"/>
              </w:rPr>
              <w:t>2</w:t>
            </w:r>
            <w:r>
              <w:rPr>
                <w:rFonts w:hint="eastAsia" w:ascii="宋体" w:cs="宋体"/>
                <w:kern w:val="0"/>
                <w:szCs w:val="21"/>
                <w:lang w:eastAsia="zh-CN"/>
              </w:rPr>
              <w:t>）全力以赴做好督查督办。（</w:t>
            </w:r>
            <w:r>
              <w:rPr>
                <w:rFonts w:hint="eastAsia" w:ascii="宋体" w:cs="宋体"/>
                <w:kern w:val="0"/>
                <w:szCs w:val="21"/>
                <w:lang w:val="en-US" w:eastAsia="zh-CN"/>
              </w:rPr>
              <w:t>3</w:t>
            </w:r>
            <w:r>
              <w:rPr>
                <w:rFonts w:hint="eastAsia" w:ascii="宋体" w:cs="宋体"/>
                <w:kern w:val="0"/>
                <w:szCs w:val="21"/>
                <w:lang w:eastAsia="zh-CN"/>
              </w:rPr>
              <w:t>）高瞻深入开展调查研究。（</w:t>
            </w:r>
            <w:r>
              <w:rPr>
                <w:rFonts w:hint="eastAsia" w:ascii="宋体" w:cs="宋体"/>
                <w:kern w:val="0"/>
                <w:szCs w:val="21"/>
                <w:lang w:val="en-US" w:eastAsia="zh-CN"/>
              </w:rPr>
              <w:t>4</w:t>
            </w:r>
            <w:r>
              <w:rPr>
                <w:rFonts w:hint="eastAsia" w:ascii="宋体" w:cs="宋体"/>
                <w:kern w:val="0"/>
                <w:szCs w:val="21"/>
                <w:lang w:eastAsia="zh-CN"/>
              </w:rPr>
              <w:t>）积极开展优化经济环境工作。（</w:t>
            </w:r>
            <w:r>
              <w:rPr>
                <w:rFonts w:hint="eastAsia" w:ascii="宋体" w:cs="宋体"/>
                <w:kern w:val="0"/>
                <w:szCs w:val="21"/>
                <w:lang w:val="en-US" w:eastAsia="zh-CN"/>
              </w:rPr>
              <w:t>5</w:t>
            </w:r>
            <w:r>
              <w:rPr>
                <w:rFonts w:hint="eastAsia" w:ascii="宋体" w:cs="宋体"/>
                <w:kern w:val="0"/>
                <w:szCs w:val="21"/>
                <w:lang w:eastAsia="zh-CN"/>
              </w:rPr>
              <w:t>）全面推进协调服务工作。（</w:t>
            </w:r>
            <w:r>
              <w:rPr>
                <w:rFonts w:hint="eastAsia" w:ascii="宋体" w:cs="宋体"/>
                <w:kern w:val="0"/>
                <w:szCs w:val="21"/>
                <w:lang w:val="en-US" w:eastAsia="zh-CN"/>
              </w:rPr>
              <w:t>6</w:t>
            </w:r>
            <w:r>
              <w:rPr>
                <w:rFonts w:hint="eastAsia" w:ascii="宋体" w:cs="宋体"/>
                <w:kern w:val="0"/>
                <w:szCs w:val="21"/>
                <w:lang w:eastAsia="zh-CN"/>
              </w:rPr>
              <w:t>）多措并举推动禁毒工作</w:t>
            </w:r>
            <w:r>
              <w:rPr>
                <w:rFonts w:hint="eastAsia" w:ascii="宋体" w:cs="宋体"/>
                <w:kern w:val="0"/>
                <w:szCs w:val="21"/>
                <w:lang w:val="en-US" w:eastAsia="zh-CN"/>
              </w:rPr>
              <w:t>,</w:t>
            </w:r>
            <w:r>
              <w:rPr>
                <w:rFonts w:hint="eastAsia" w:ascii="宋体" w:cs="宋体"/>
                <w:kern w:val="0"/>
                <w:szCs w:val="21"/>
                <w:lang w:eastAsia="zh-CN"/>
              </w:rPr>
              <w:t>不断加强禁毒教育，严厉打击涉毒、贩毒、吸毒人员，禁毒工作进入怀化市先进行列。（</w:t>
            </w:r>
            <w:r>
              <w:rPr>
                <w:rFonts w:hint="eastAsia" w:ascii="宋体" w:cs="宋体"/>
                <w:kern w:val="0"/>
                <w:szCs w:val="21"/>
                <w:lang w:val="en-US" w:eastAsia="zh-CN"/>
              </w:rPr>
              <w:t>7</w:t>
            </w:r>
            <w:r>
              <w:rPr>
                <w:rFonts w:hint="eastAsia" w:ascii="宋体" w:cs="宋体"/>
                <w:kern w:val="0"/>
                <w:szCs w:val="21"/>
                <w:lang w:eastAsia="zh-CN"/>
              </w:rPr>
              <w:t>）多方联动保障道路安全。（</w:t>
            </w:r>
            <w:r>
              <w:rPr>
                <w:rFonts w:hint="eastAsia" w:ascii="宋体" w:cs="宋体"/>
                <w:kern w:val="0"/>
                <w:szCs w:val="21"/>
                <w:lang w:val="en-US" w:eastAsia="zh-CN"/>
              </w:rPr>
              <w:t>8</w:t>
            </w:r>
            <w:r>
              <w:rPr>
                <w:rFonts w:hint="eastAsia" w:ascii="宋体" w:cs="宋体"/>
                <w:kern w:val="0"/>
                <w:szCs w:val="21"/>
                <w:lang w:eastAsia="zh-CN"/>
              </w:rPr>
              <w:t>）凝心聚力发展中药材产业</w:t>
            </w:r>
            <w:r>
              <w:rPr>
                <w:rFonts w:hint="eastAsia" w:ascii="宋体" w:cs="宋体"/>
                <w:kern w:val="0"/>
                <w:szCs w:val="21"/>
                <w:lang w:val="en-US" w:eastAsia="zh-CN"/>
              </w:rPr>
              <w:t>。</w:t>
            </w:r>
            <w:r>
              <w:rPr>
                <w:rFonts w:hint="eastAsia" w:ascii="宋体" w:cs="宋体"/>
                <w:kern w:val="0"/>
                <w:szCs w:val="21"/>
                <w:lang w:eastAsia="zh-CN"/>
              </w:rPr>
              <w:t>（</w:t>
            </w:r>
            <w:r>
              <w:rPr>
                <w:rFonts w:hint="eastAsia" w:ascii="宋体" w:cs="宋体"/>
                <w:kern w:val="0"/>
                <w:szCs w:val="21"/>
                <w:lang w:val="en-US" w:eastAsia="zh-CN"/>
              </w:rPr>
              <w:t>9</w:t>
            </w:r>
            <w:r>
              <w:rPr>
                <w:rFonts w:hint="eastAsia" w:ascii="宋体" w:cs="宋体"/>
                <w:kern w:val="0"/>
                <w:szCs w:val="21"/>
                <w:lang w:eastAsia="zh-CN"/>
              </w:rPr>
              <w:t>）持续发力推动财税金融工作，力推“两行”开业，支持企业复工复产，推进不良贷款清收。（</w:t>
            </w:r>
            <w:r>
              <w:rPr>
                <w:rFonts w:hint="eastAsia" w:ascii="宋体" w:cs="宋体"/>
                <w:kern w:val="0"/>
                <w:szCs w:val="21"/>
                <w:lang w:val="en-US" w:eastAsia="zh-CN"/>
              </w:rPr>
              <w:t>10</w:t>
            </w:r>
            <w:r>
              <w:rPr>
                <w:rFonts w:hint="eastAsia" w:ascii="宋体" w:cs="宋体"/>
                <w:kern w:val="0"/>
                <w:szCs w:val="21"/>
                <w:lang w:eastAsia="zh-CN"/>
              </w:rPr>
              <w:t>）以贯之做好脱贫攻坚工作。（</w:t>
            </w:r>
            <w:r>
              <w:rPr>
                <w:rFonts w:hint="eastAsia" w:ascii="宋体" w:cs="宋体"/>
                <w:kern w:val="0"/>
                <w:szCs w:val="21"/>
                <w:lang w:val="en-US" w:eastAsia="zh-CN"/>
              </w:rPr>
              <w:t>11</w:t>
            </w:r>
            <w:r>
              <w:rPr>
                <w:rFonts w:hint="eastAsia" w:ascii="宋体" w:cs="宋体"/>
                <w:kern w:val="0"/>
                <w:szCs w:val="21"/>
                <w:lang w:eastAsia="zh-CN"/>
              </w:rPr>
              <w:t>）有效推进深化“放管服”工作。（</w:t>
            </w:r>
            <w:r>
              <w:rPr>
                <w:rFonts w:hint="eastAsia" w:ascii="宋体" w:cs="宋体"/>
                <w:kern w:val="0"/>
                <w:szCs w:val="21"/>
                <w:lang w:val="en-US" w:eastAsia="zh-CN"/>
              </w:rPr>
              <w:t>12</w:t>
            </w:r>
            <w:r>
              <w:rPr>
                <w:rFonts w:hint="eastAsia" w:ascii="宋体" w:cs="宋体"/>
                <w:kern w:val="0"/>
                <w:szCs w:val="21"/>
                <w:lang w:eastAsia="zh-CN"/>
              </w:rPr>
              <w:t>）强化职能做好机要人事工作。（</w:t>
            </w:r>
            <w:r>
              <w:rPr>
                <w:rFonts w:hint="eastAsia" w:ascii="宋体" w:cs="宋体"/>
                <w:kern w:val="0"/>
                <w:szCs w:val="21"/>
                <w:lang w:val="en-US" w:eastAsia="zh-CN"/>
              </w:rPr>
              <w:t>13</w:t>
            </w:r>
            <w:r>
              <w:rPr>
                <w:rFonts w:hint="eastAsia" w:ascii="宋体" w:cs="宋体"/>
                <w:kern w:val="0"/>
                <w:szCs w:val="21"/>
                <w:lang w:eastAsia="zh-CN"/>
              </w:rPr>
              <w:t>）保驾护航做好行政事务管理室工作。（</w:t>
            </w:r>
            <w:r>
              <w:rPr>
                <w:rFonts w:hint="eastAsia" w:ascii="宋体" w:cs="宋体"/>
                <w:kern w:val="0"/>
                <w:szCs w:val="21"/>
                <w:lang w:val="en-US" w:eastAsia="zh-CN"/>
              </w:rPr>
              <w:t>14</w:t>
            </w:r>
            <w:r>
              <w:rPr>
                <w:rFonts w:hint="eastAsia" w:ascii="宋体" w:cs="宋体"/>
                <w:kern w:val="0"/>
                <w:szCs w:val="21"/>
                <w:lang w:eastAsia="zh-CN"/>
              </w:rPr>
              <w:t>）出谋划策力推柑橘产业发展工作。</w:t>
            </w:r>
          </w:p>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873" w:hRule="atLeast"/>
        </w:trPr>
        <w:tc>
          <w:tcPr>
            <w:tcW w:w="2490" w:type="dxa"/>
            <w:gridSpan w:val="5"/>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kern w:val="0"/>
                <w:szCs w:val="21"/>
              </w:rPr>
              <w:t>绩效自评综合得分</w:t>
            </w:r>
          </w:p>
        </w:tc>
        <w:tc>
          <w:tcPr>
            <w:tcW w:w="6828" w:type="dxa"/>
            <w:gridSpan w:val="11"/>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eastAsia="宋体" w:cs="宋体"/>
                <w:kern w:val="0"/>
                <w:szCs w:val="21"/>
                <w:lang w:val="en-US" w:eastAsia="zh-CN"/>
              </w:rPr>
            </w:pPr>
            <w:r>
              <w:rPr>
                <w:rFonts w:hint="eastAsia" w:ascii="宋体" w:cs="宋体"/>
                <w:kern w:val="0"/>
                <w:szCs w:val="21"/>
                <w:lang w:val="en-US" w:eastAsia="zh-CN"/>
              </w:rPr>
              <w:t>89.5</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03" w:hRule="atLeast"/>
        </w:trPr>
        <w:tc>
          <w:tcPr>
            <w:tcW w:w="2490" w:type="dxa"/>
            <w:gridSpan w:val="5"/>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kern w:val="0"/>
                <w:szCs w:val="21"/>
              </w:rPr>
              <w:t>评价等次</w:t>
            </w:r>
          </w:p>
        </w:tc>
        <w:tc>
          <w:tcPr>
            <w:tcW w:w="6828" w:type="dxa"/>
            <w:gridSpan w:val="11"/>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eastAsia="宋体" w:cs="宋体"/>
                <w:kern w:val="0"/>
                <w:szCs w:val="21"/>
                <w:lang w:eastAsia="zh-CN"/>
              </w:rPr>
            </w:pPr>
            <w:r>
              <w:rPr>
                <w:rFonts w:hint="eastAsia" w:ascii="宋体" w:cs="宋体"/>
                <w:kern w:val="0"/>
                <w:szCs w:val="21"/>
                <w:lang w:eastAsia="zh-CN"/>
              </w:rPr>
              <w:t>良好</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75" w:hRule="atLeast"/>
        </w:trPr>
        <w:tc>
          <w:tcPr>
            <w:tcW w:w="9318" w:type="dxa"/>
            <w:gridSpan w:val="1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r>
              <w:rPr>
                <w:rFonts w:hint="eastAsia" w:ascii="宋体" w:cs="宋体"/>
                <w:b/>
                <w:bCs/>
                <w:kern w:val="0"/>
                <w:szCs w:val="21"/>
              </w:rPr>
              <w:t>四、评价人员</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03" w:hRule="atLeast"/>
        </w:trPr>
        <w:tc>
          <w:tcPr>
            <w:tcW w:w="1661"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姓 名</w:t>
            </w:r>
          </w:p>
        </w:tc>
        <w:tc>
          <w:tcPr>
            <w:tcW w:w="2914" w:type="dxa"/>
            <w:gridSpan w:val="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职务/职称</w:t>
            </w:r>
          </w:p>
        </w:tc>
        <w:tc>
          <w:tcPr>
            <w:tcW w:w="2319"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单 位</w:t>
            </w:r>
          </w:p>
        </w:tc>
        <w:tc>
          <w:tcPr>
            <w:tcW w:w="242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center"/>
              <w:rPr>
                <w:rFonts w:hint="eastAsia" w:ascii="宋体" w:cs="宋体"/>
                <w:kern w:val="0"/>
                <w:szCs w:val="21"/>
              </w:rPr>
            </w:pPr>
            <w:r>
              <w:rPr>
                <w:rFonts w:hint="eastAsia" w:ascii="宋体" w:cs="宋体"/>
                <w:kern w:val="0"/>
                <w:szCs w:val="21"/>
              </w:rPr>
              <w:t>签 字</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650" w:hRule="atLeast"/>
        </w:trPr>
        <w:tc>
          <w:tcPr>
            <w:tcW w:w="1661"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r>
              <w:rPr>
                <w:rFonts w:hint="eastAsia" w:ascii="宋体" w:cs="宋体"/>
                <w:kern w:val="0"/>
                <w:szCs w:val="21"/>
                <w:lang w:eastAsia="zh-CN"/>
              </w:rPr>
              <w:t>谢望湘</w:t>
            </w:r>
          </w:p>
        </w:tc>
        <w:tc>
          <w:tcPr>
            <w:tcW w:w="2914" w:type="dxa"/>
            <w:gridSpan w:val="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r>
              <w:rPr>
                <w:rFonts w:hint="eastAsia" w:ascii="宋体" w:cs="宋体"/>
                <w:kern w:val="0"/>
                <w:szCs w:val="21"/>
                <w:lang w:eastAsia="zh-CN"/>
              </w:rPr>
              <w:t>主任</w:t>
            </w:r>
          </w:p>
        </w:tc>
        <w:tc>
          <w:tcPr>
            <w:tcW w:w="2319"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r>
              <w:rPr>
                <w:rFonts w:hint="eastAsia" w:ascii="宋体" w:cs="宋体"/>
                <w:kern w:val="0"/>
                <w:szCs w:val="21"/>
                <w:lang w:eastAsia="zh-CN"/>
              </w:rPr>
              <w:t>洪江市人民政府办公室</w:t>
            </w:r>
          </w:p>
        </w:tc>
        <w:tc>
          <w:tcPr>
            <w:tcW w:w="242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638" w:hRule="atLeast"/>
        </w:trPr>
        <w:tc>
          <w:tcPr>
            <w:tcW w:w="1661"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r>
              <w:rPr>
                <w:rFonts w:hint="eastAsia" w:ascii="宋体" w:cs="宋体"/>
                <w:kern w:val="0"/>
                <w:szCs w:val="21"/>
                <w:lang w:eastAsia="zh-CN"/>
              </w:rPr>
              <w:t>蒋宗德</w:t>
            </w:r>
          </w:p>
        </w:tc>
        <w:tc>
          <w:tcPr>
            <w:tcW w:w="2914" w:type="dxa"/>
            <w:gridSpan w:val="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r>
              <w:rPr>
                <w:rFonts w:hint="eastAsia" w:ascii="宋体" w:cs="宋体"/>
                <w:kern w:val="0"/>
                <w:szCs w:val="21"/>
                <w:lang w:eastAsia="zh-CN"/>
              </w:rPr>
              <w:t>副主任</w:t>
            </w:r>
          </w:p>
        </w:tc>
        <w:tc>
          <w:tcPr>
            <w:tcW w:w="2319"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r>
              <w:rPr>
                <w:rFonts w:hint="eastAsia" w:ascii="宋体" w:cs="宋体"/>
                <w:kern w:val="0"/>
                <w:szCs w:val="21"/>
                <w:lang w:eastAsia="zh-CN"/>
              </w:rPr>
              <w:t>洪江市人民政府办公室</w:t>
            </w:r>
          </w:p>
        </w:tc>
        <w:tc>
          <w:tcPr>
            <w:tcW w:w="242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638" w:hRule="atLeast"/>
        </w:trPr>
        <w:tc>
          <w:tcPr>
            <w:tcW w:w="1661"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r>
              <w:rPr>
                <w:rFonts w:hint="eastAsia" w:ascii="宋体" w:cs="宋体"/>
                <w:kern w:val="0"/>
                <w:szCs w:val="21"/>
                <w:lang w:eastAsia="zh-CN"/>
              </w:rPr>
              <w:t>石永立</w:t>
            </w:r>
          </w:p>
        </w:tc>
        <w:tc>
          <w:tcPr>
            <w:tcW w:w="2914" w:type="dxa"/>
            <w:gridSpan w:val="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r>
              <w:rPr>
                <w:rFonts w:hint="eastAsia" w:ascii="宋体" w:cs="宋体"/>
                <w:kern w:val="0"/>
                <w:szCs w:val="21"/>
                <w:lang w:eastAsia="zh-CN"/>
              </w:rPr>
              <w:t>会计</w:t>
            </w:r>
          </w:p>
        </w:tc>
        <w:tc>
          <w:tcPr>
            <w:tcW w:w="2319"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r>
              <w:rPr>
                <w:rFonts w:hint="eastAsia" w:ascii="宋体" w:cs="宋体"/>
                <w:kern w:val="0"/>
                <w:szCs w:val="21"/>
                <w:lang w:eastAsia="zh-CN"/>
              </w:rPr>
              <w:t>洪江市人民政府办公室</w:t>
            </w:r>
          </w:p>
        </w:tc>
        <w:tc>
          <w:tcPr>
            <w:tcW w:w="242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686" w:hRule="atLeast"/>
        </w:trPr>
        <w:tc>
          <w:tcPr>
            <w:tcW w:w="1661"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914" w:type="dxa"/>
            <w:gridSpan w:val="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319" w:type="dxa"/>
            <w:gridSpan w:val="4"/>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c>
          <w:tcPr>
            <w:tcW w:w="2424" w:type="dxa"/>
            <w:gridSpan w:val="3"/>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3033" w:hRule="atLeast"/>
        </w:trPr>
        <w:tc>
          <w:tcPr>
            <w:tcW w:w="9318" w:type="dxa"/>
            <w:gridSpan w:val="1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r>
              <w:rPr>
                <w:rFonts w:hint="eastAsia" w:ascii="宋体" w:cs="宋体"/>
                <w:kern w:val="0"/>
                <w:szCs w:val="21"/>
              </w:rPr>
              <w:t>评价组组长（签字）：</w:t>
            </w:r>
          </w:p>
          <w:p>
            <w:pPr>
              <w:widowControl/>
              <w:spacing w:line="300" w:lineRule="exact"/>
              <w:ind w:firstLine="6493" w:firstLineChars="3092"/>
              <w:rPr>
                <w:rFonts w:hint="eastAsia" w:ascii="宋体" w:cs="宋体"/>
                <w:kern w:val="0"/>
                <w:szCs w:val="21"/>
              </w:rPr>
            </w:pPr>
            <w:r>
              <w:rPr>
                <w:rFonts w:hint="eastAsia" w:ascii="宋体" w:cs="宋体"/>
                <w:kern w:val="0"/>
                <w:szCs w:val="21"/>
              </w:rPr>
              <w:t>年   月   日</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193" w:hRule="atLeast"/>
        </w:trPr>
        <w:tc>
          <w:tcPr>
            <w:tcW w:w="9318" w:type="dxa"/>
            <w:gridSpan w:val="16"/>
            <w:tcBorders>
              <w:top w:val="outset" w:color="000000" w:sz="6" w:space="0"/>
              <w:left w:val="outset" w:color="000000" w:sz="6" w:space="0"/>
              <w:bottom w:val="outset" w:color="000000" w:sz="6" w:space="0"/>
              <w:right w:val="outset" w:color="000000" w:sz="6" w:space="0"/>
            </w:tcBorders>
            <w:noWrap w:val="0"/>
            <w:vAlign w:val="center"/>
          </w:tcPr>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r>
              <w:rPr>
                <w:rFonts w:hint="eastAsia" w:ascii="宋体" w:cs="宋体"/>
                <w:kern w:val="0"/>
                <w:szCs w:val="21"/>
              </w:rPr>
              <w:t>部门（单位）意见：</w:t>
            </w: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r>
              <w:rPr>
                <w:rFonts w:hint="eastAsia" w:ascii="宋体" w:cs="宋体"/>
                <w:kern w:val="0"/>
                <w:szCs w:val="21"/>
              </w:rPr>
              <w:t>部门（单位）负责人（签字）：</w:t>
            </w:r>
          </w:p>
          <w:p>
            <w:pPr>
              <w:widowControl/>
              <w:spacing w:line="300" w:lineRule="exact"/>
              <w:ind w:firstLine="6598" w:firstLineChars="3142"/>
              <w:rPr>
                <w:rFonts w:hint="eastAsia" w:ascii="宋体" w:cs="宋体"/>
                <w:kern w:val="0"/>
                <w:szCs w:val="21"/>
              </w:rPr>
            </w:pPr>
            <w:r>
              <w:rPr>
                <w:rFonts w:hint="eastAsia" w:ascii="宋体" w:cs="宋体"/>
                <w:kern w:val="0"/>
                <w:szCs w:val="21"/>
              </w:rPr>
              <w:t>年   月   日</w:t>
            </w:r>
          </w:p>
        </w:tc>
      </w:tr>
    </w:tbl>
    <w:p>
      <w:pPr>
        <w:widowControl/>
        <w:spacing w:line="480" w:lineRule="auto"/>
        <w:ind w:firstLine="480"/>
        <w:rPr>
          <w:rFonts w:hint="eastAsia" w:ascii="宋体" w:cs="宋体"/>
          <w:kern w:val="0"/>
          <w:szCs w:val="21"/>
        </w:rPr>
      </w:pPr>
      <w:r>
        <w:rPr>
          <w:rFonts w:hint="eastAsia" w:ascii="宋体" w:cs="宋体"/>
          <w:kern w:val="0"/>
          <w:szCs w:val="21"/>
        </w:rPr>
        <w:t>填报人（签名）：</w:t>
      </w:r>
      <w:r>
        <w:rPr>
          <w:rFonts w:hint="eastAsia" w:ascii="宋体" w:cs="宋体"/>
          <w:kern w:val="0"/>
          <w:szCs w:val="21"/>
          <w:lang w:eastAsia="zh-CN"/>
        </w:rPr>
        <w:t>孙朝明</w:t>
      </w:r>
      <w:r>
        <w:rPr>
          <w:rFonts w:hint="eastAsia" w:ascii="宋体" w:cs="宋体"/>
          <w:kern w:val="0"/>
          <w:szCs w:val="21"/>
        </w:rPr>
        <w:t xml:space="preserve">                 </w:t>
      </w:r>
      <w:r>
        <w:rPr>
          <w:rFonts w:hint="eastAsia" w:ascii="宋体" w:cs="宋体"/>
          <w:kern w:val="0"/>
          <w:szCs w:val="21"/>
          <w:lang w:val="en-US" w:eastAsia="zh-CN"/>
        </w:rPr>
        <w:t xml:space="preserve">              </w:t>
      </w:r>
      <w:r>
        <w:rPr>
          <w:rFonts w:hint="eastAsia" w:ascii="宋体" w:cs="宋体"/>
          <w:kern w:val="0"/>
          <w:szCs w:val="21"/>
        </w:rPr>
        <w:t xml:space="preserve"> 联系电话：</w:t>
      </w:r>
      <w:r>
        <w:rPr>
          <w:rFonts w:hint="eastAsia" w:ascii="宋体" w:cs="宋体"/>
          <w:kern w:val="0"/>
          <w:szCs w:val="21"/>
          <w:lang w:val="en-US" w:eastAsia="zh-CN"/>
        </w:rPr>
        <w:t>13874579800</w:t>
      </w:r>
    </w:p>
    <w:p>
      <w:pPr>
        <w:rPr>
          <w:rFonts w:hint="eastAsia"/>
        </w:rPr>
      </w:pPr>
    </w:p>
    <w:p>
      <w:pPr>
        <w:rPr>
          <w:rFonts w:hint="eastAsia"/>
        </w:rPr>
      </w:pPr>
    </w:p>
    <w:p>
      <w:pPr>
        <w:spacing w:line="600" w:lineRule="exact"/>
        <w:rPr>
          <w:rFonts w:hint="eastAsia" w:ascii="仿宋_GB2312" w:eastAsia="仿宋_GB2312" w:cs="宋体"/>
          <w:kern w:val="0"/>
          <w:sz w:val="28"/>
          <w:szCs w:val="28"/>
        </w:rPr>
      </w:pPr>
    </w:p>
    <w:p>
      <w:pPr>
        <w:spacing w:line="600" w:lineRule="exact"/>
        <w:rPr>
          <w:rFonts w:hint="eastAsia" w:ascii="仿宋_GB2312" w:eastAsia="仿宋_GB2312" w:cs="宋体"/>
          <w:kern w:val="0"/>
          <w:sz w:val="28"/>
          <w:szCs w:val="28"/>
        </w:rPr>
      </w:pPr>
    </w:p>
    <w:p>
      <w:pPr>
        <w:spacing w:line="600" w:lineRule="exact"/>
        <w:rPr>
          <w:rFonts w:hint="eastAsia" w:ascii="仿宋_GB2312" w:eastAsia="仿宋_GB2312" w:cs="宋体"/>
          <w:kern w:val="0"/>
          <w:sz w:val="28"/>
          <w:szCs w:val="28"/>
        </w:rPr>
      </w:pPr>
    </w:p>
    <w:p>
      <w:pPr>
        <w:spacing w:line="600" w:lineRule="exact"/>
        <w:rPr>
          <w:rFonts w:hint="eastAsia" w:ascii="仿宋_GB2312" w:eastAsia="仿宋_GB2312" w:cs="宋体"/>
          <w:kern w:val="0"/>
          <w:sz w:val="28"/>
          <w:szCs w:val="28"/>
        </w:rPr>
      </w:pPr>
    </w:p>
    <w:p>
      <w:pPr>
        <w:spacing w:line="600" w:lineRule="exact"/>
        <w:rPr>
          <w:rFonts w:hint="eastAsia" w:ascii="仿宋_GB2312" w:eastAsia="仿宋_GB2312" w:cs="宋体"/>
          <w:kern w:val="0"/>
          <w:sz w:val="28"/>
          <w:szCs w:val="28"/>
        </w:rPr>
      </w:pPr>
    </w:p>
    <w:p>
      <w:pPr>
        <w:spacing w:line="600" w:lineRule="exact"/>
        <w:rPr>
          <w:rFonts w:hint="eastAsia" w:ascii="仿宋_GB2312" w:eastAsia="仿宋_GB2312" w:cs="宋体"/>
          <w:kern w:val="0"/>
          <w:sz w:val="28"/>
          <w:szCs w:val="28"/>
        </w:rPr>
      </w:pPr>
    </w:p>
    <w:p>
      <w:pPr>
        <w:spacing w:line="600" w:lineRule="exact"/>
        <w:rPr>
          <w:rFonts w:hint="eastAsia" w:ascii="仿宋_GB2312" w:eastAsia="仿宋_GB2312" w:cs="宋体"/>
          <w:kern w:val="0"/>
          <w:sz w:val="28"/>
          <w:szCs w:val="28"/>
        </w:rPr>
      </w:pPr>
    </w:p>
    <w:p>
      <w:pPr>
        <w:spacing w:line="600" w:lineRule="exact"/>
        <w:rPr>
          <w:rFonts w:hint="eastAsia" w:ascii="仿宋_GB2312" w:eastAsia="仿宋_GB2312" w:cs="宋体"/>
          <w:kern w:val="0"/>
          <w:sz w:val="28"/>
          <w:szCs w:val="28"/>
        </w:rPr>
      </w:pPr>
    </w:p>
    <w:p>
      <w:pPr>
        <w:spacing w:line="600" w:lineRule="exact"/>
        <w:rPr>
          <w:rFonts w:hint="eastAsia" w:ascii="仿宋_GB2312" w:eastAsia="仿宋_GB2312" w:cs="宋体"/>
          <w:kern w:val="0"/>
          <w:sz w:val="28"/>
          <w:szCs w:val="28"/>
        </w:rPr>
      </w:pPr>
    </w:p>
    <w:p>
      <w:pPr>
        <w:spacing w:line="600" w:lineRule="exact"/>
        <w:rPr>
          <w:rFonts w:hint="eastAsia" w:ascii="仿宋_GB2312" w:eastAsia="仿宋_GB2312" w:cs="宋体"/>
          <w:kern w:val="0"/>
          <w:sz w:val="28"/>
          <w:szCs w:val="28"/>
        </w:rPr>
      </w:pPr>
    </w:p>
    <w:p>
      <w:pPr>
        <w:spacing w:line="600" w:lineRule="exact"/>
        <w:rPr>
          <w:rFonts w:hint="eastAsia" w:ascii="仿宋_GB2312" w:eastAsia="仿宋_GB2312" w:cs="宋体"/>
          <w:kern w:val="0"/>
          <w:sz w:val="28"/>
          <w:szCs w:val="28"/>
        </w:rPr>
      </w:pPr>
    </w:p>
    <w:p>
      <w:pPr>
        <w:pStyle w:val="5"/>
        <w:pageBreakBefore w:val="0"/>
        <w:kinsoku/>
        <w:wordWrap/>
        <w:overflowPunct/>
        <w:topLinePunct w:val="0"/>
        <w:autoSpaceDE/>
        <w:autoSpaceDN/>
        <w:bidi w:val="0"/>
        <w:adjustRightInd/>
        <w:spacing w:line="560" w:lineRule="exact"/>
        <w:jc w:val="center"/>
        <w:textAlignment w:val="auto"/>
        <w:rPr>
          <w:rFonts w:hint="eastAsia"/>
        </w:rPr>
      </w:pPr>
      <w:r>
        <w:rPr>
          <w:rFonts w:hint="eastAsia"/>
          <w:lang w:val="en-US" w:eastAsia="zh-CN"/>
        </w:rPr>
        <w:t>2020年度政府办整体绩效</w:t>
      </w:r>
      <w:r>
        <w:rPr>
          <w:rFonts w:hint="eastAsia"/>
        </w:rPr>
        <w:t>评价报告综述</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480"/>
        <w:textAlignment w:val="auto"/>
        <w:rPr>
          <w:rFonts w:hint="default" w:ascii="仿宋_GB2312" w:eastAsia="仿宋_GB2312" w:cs="宋体"/>
          <w:b/>
          <w:bCs/>
          <w:kern w:val="0"/>
          <w:sz w:val="28"/>
          <w:szCs w:val="28"/>
          <w:lang w:val="en-US" w:eastAsia="zh-CN"/>
        </w:rPr>
      </w:pPr>
      <w:r>
        <w:rPr>
          <w:rFonts w:hint="eastAsia" w:ascii="仿宋_GB2312" w:eastAsia="仿宋_GB2312" w:cs="宋体"/>
          <w:b/>
          <w:bCs/>
          <w:kern w:val="0"/>
          <w:sz w:val="28"/>
          <w:szCs w:val="28"/>
        </w:rPr>
        <w:t>部门（单位）概况</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主要职责：1、协助市政府领导同志审核或组织起草以市政府、市政府办公室名义发布的公文。</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2、研究市政府各部门和各乡（镇）人民政府请示市政府的事项，提出审核意见，报市政府领导同志审批。</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3、负责市政府会议的组织和服务工作，协助实施会议决定事项。</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4、根据市政府领导同志的指示或工作需要，对有关问题进行协调，提出处理意见，报市政府领导同志决定。</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5、办理中央、省、怀化市政府和市政府领导同志的批示，并督促落实。督促检查市政府各部门和各乡（镇）人民政府对市政府决定事项的执行落实情况，及时向市政府报告。</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6、组织开展人大代表建议、政协提案办理工作。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7、负责政务信息的收集并向国务院、省政府、怀化市政府和洪江市政府领导同志报告重要信息和情况。</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8、负责市政府值班工作。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9、负责国务院、省政府、怀化市政府以及上级政府对口部门领导来洪检查指导工作和外地政府领导来洪考察了解情况的协调联络工作。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10、负责协调、监督管理财税金融工作。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11、根据市政府领导同志的指示和市政府工作部署，对全市经济建设、社会发展和改革中带全局性的重大课题进行调查研究，及时反映情况，提出政策建议；联系、指导全市政府系统的调研工作。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12、贯彻落实市委、市政府有关优化经济发展环境的政策、措施；负责全市优化经济发展环境工作的组织实施和优化经济发展环境工作的监督、检查以及组织调处、督办影响经济发展环境的各类纠纷和案件。</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13、负责市政府行政效能督查督办工作。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14、负责指导、协调、推进全市行政审批制度改革工作。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15、完成市委、市政府交办的其他任务。</w:t>
      </w:r>
    </w:p>
    <w:p>
      <w:pPr>
        <w:widowControl/>
        <w:shd w:val="clear" w:color="000000" w:fill="FFFFFF"/>
        <w:spacing w:line="360" w:lineRule="atLeast"/>
        <w:ind w:firstLine="602"/>
        <w:jc w:val="left"/>
        <w:rPr>
          <w:rFonts w:hint="eastAsia" w:ascii="仿宋_GB2312" w:eastAsia="仿宋_GB2312"/>
          <w:sz w:val="30"/>
          <w:szCs w:val="30"/>
        </w:rPr>
      </w:pPr>
      <w:r>
        <w:rPr>
          <w:rFonts w:hint="eastAsia" w:ascii="仿宋_GB2312" w:hAnsi="仿宋_GB2312" w:eastAsia="仿宋_GB2312" w:cs="仿宋_GB2312"/>
          <w:sz w:val="30"/>
          <w:szCs w:val="30"/>
          <w:lang w:val="en-US" w:eastAsia="zh-CN"/>
        </w:rPr>
        <w:t>机构设置：根据上述职责</w:t>
      </w:r>
      <w:r>
        <w:rPr>
          <w:rFonts w:hint="eastAsia" w:ascii="仿宋_GB2312" w:eastAsia="仿宋_GB2312"/>
          <w:sz w:val="30"/>
          <w:szCs w:val="30"/>
        </w:rPr>
        <w:t>市政府办下列内设机构：市政府总值班室</w:t>
      </w:r>
      <w:r>
        <w:rPr>
          <w:rFonts w:hint="eastAsia" w:ascii="仿宋_GB2312" w:eastAsia="仿宋_GB2312"/>
          <w:sz w:val="30"/>
          <w:szCs w:val="30"/>
          <w:lang w:eastAsia="zh-CN"/>
        </w:rPr>
        <w:t>、经济调查研究信息室、文电室、会议服务室、市政府督查室（行政效能室）、优化经济发展环境工作办公室、行政事务管理办公室、政务服务室、人事股、财税金融办公室、机要室、综合室、文秘室。</w:t>
      </w:r>
    </w:p>
    <w:p>
      <w:pPr>
        <w:pageBreakBefore w:val="0"/>
        <w:numPr>
          <w:ilvl w:val="0"/>
          <w:numId w:val="0"/>
        </w:numPr>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部门（单位）整体支出规模、使用方向和主要内容、涉及范围等</w:t>
      </w:r>
    </w:p>
    <w:p>
      <w:pPr>
        <w:pageBreakBefore w:val="0"/>
        <w:widowControl/>
        <w:kinsoku/>
        <w:wordWrap/>
        <w:overflowPunct/>
        <w:topLinePunct w:val="0"/>
        <w:autoSpaceDE/>
        <w:autoSpaceDN/>
        <w:bidi w:val="0"/>
        <w:adjustRightInd/>
        <w:spacing w:line="560" w:lineRule="exact"/>
        <w:ind w:firstLine="480"/>
        <w:textAlignment w:val="auto"/>
        <w:rPr>
          <w:rFonts w:hint="eastAsia" w:ascii="仿宋_GB2312" w:hAnsi="仿宋_GB2312" w:eastAsia="仿宋_GB2312" w:cs="仿宋_GB2312"/>
          <w:b w:val="0"/>
          <w:bCs w:val="0"/>
          <w:kern w:val="0"/>
          <w:sz w:val="30"/>
          <w:szCs w:val="30"/>
          <w:lang w:val="en-US" w:eastAsia="zh-CN"/>
        </w:rPr>
      </w:pPr>
      <w:r>
        <w:rPr>
          <w:rFonts w:hint="eastAsia" w:ascii="仿宋_GB2312" w:hAnsi="仿宋_GB2312" w:eastAsia="仿宋_GB2312" w:cs="仿宋_GB2312"/>
          <w:b/>
          <w:bCs/>
          <w:kern w:val="0"/>
          <w:sz w:val="30"/>
          <w:szCs w:val="30"/>
          <w:lang w:val="en-US" w:eastAsia="zh-CN"/>
        </w:rPr>
        <w:t>（</w:t>
      </w:r>
      <w:r>
        <w:rPr>
          <w:rFonts w:hint="eastAsia" w:ascii="仿宋_GB2312" w:hAnsi="仿宋_GB2312" w:eastAsia="仿宋_GB2312" w:cs="仿宋_GB2312"/>
          <w:b w:val="0"/>
          <w:bCs w:val="0"/>
          <w:kern w:val="0"/>
          <w:sz w:val="30"/>
          <w:szCs w:val="30"/>
          <w:lang w:val="en-US" w:eastAsia="zh-CN"/>
        </w:rPr>
        <w:t>1）持之以恒抓实党建。</w:t>
      </w:r>
      <w:r>
        <w:rPr>
          <w:rFonts w:hint="eastAsia" w:ascii="仿宋_GB2312" w:hAnsi="仿宋_GB2312" w:eastAsia="仿宋_GB2312" w:cs="仿宋_GB2312"/>
          <w:b w:val="0"/>
          <w:bCs w:val="0"/>
          <w:kern w:val="0"/>
          <w:sz w:val="30"/>
          <w:szCs w:val="30"/>
          <w:lang w:eastAsia="zh-CN"/>
        </w:rPr>
        <w:t>（</w:t>
      </w:r>
      <w:r>
        <w:rPr>
          <w:rFonts w:hint="eastAsia" w:ascii="仿宋_GB2312" w:hAnsi="仿宋_GB2312" w:eastAsia="仿宋_GB2312" w:cs="仿宋_GB2312"/>
          <w:b w:val="0"/>
          <w:bCs w:val="0"/>
          <w:kern w:val="0"/>
          <w:sz w:val="30"/>
          <w:szCs w:val="30"/>
          <w:lang w:val="en-US" w:eastAsia="zh-CN"/>
        </w:rPr>
        <w:t>2</w:t>
      </w:r>
      <w:r>
        <w:rPr>
          <w:rFonts w:hint="eastAsia" w:ascii="仿宋_GB2312" w:hAnsi="仿宋_GB2312" w:eastAsia="仿宋_GB2312" w:cs="仿宋_GB2312"/>
          <w:b w:val="0"/>
          <w:bCs w:val="0"/>
          <w:kern w:val="0"/>
          <w:sz w:val="30"/>
          <w:szCs w:val="30"/>
          <w:lang w:eastAsia="zh-CN"/>
        </w:rPr>
        <w:t>）全力以赴做好督查督办。（</w:t>
      </w:r>
      <w:r>
        <w:rPr>
          <w:rFonts w:hint="eastAsia" w:ascii="仿宋_GB2312" w:hAnsi="仿宋_GB2312" w:eastAsia="仿宋_GB2312" w:cs="仿宋_GB2312"/>
          <w:b w:val="0"/>
          <w:bCs w:val="0"/>
          <w:kern w:val="0"/>
          <w:sz w:val="30"/>
          <w:szCs w:val="30"/>
          <w:lang w:val="en-US" w:eastAsia="zh-CN"/>
        </w:rPr>
        <w:t>3</w:t>
      </w:r>
      <w:r>
        <w:rPr>
          <w:rFonts w:hint="eastAsia" w:ascii="仿宋_GB2312" w:hAnsi="仿宋_GB2312" w:eastAsia="仿宋_GB2312" w:cs="仿宋_GB2312"/>
          <w:b w:val="0"/>
          <w:bCs w:val="0"/>
          <w:kern w:val="0"/>
          <w:sz w:val="30"/>
          <w:szCs w:val="30"/>
          <w:lang w:eastAsia="zh-CN"/>
        </w:rPr>
        <w:t>）高瞻深入开展调查研究。（</w:t>
      </w:r>
      <w:r>
        <w:rPr>
          <w:rFonts w:hint="eastAsia" w:ascii="仿宋_GB2312" w:hAnsi="仿宋_GB2312" w:eastAsia="仿宋_GB2312" w:cs="仿宋_GB2312"/>
          <w:b w:val="0"/>
          <w:bCs w:val="0"/>
          <w:kern w:val="0"/>
          <w:sz w:val="30"/>
          <w:szCs w:val="30"/>
          <w:lang w:val="en-US" w:eastAsia="zh-CN"/>
        </w:rPr>
        <w:t>4</w:t>
      </w:r>
      <w:r>
        <w:rPr>
          <w:rFonts w:hint="eastAsia" w:ascii="仿宋_GB2312" w:hAnsi="仿宋_GB2312" w:eastAsia="仿宋_GB2312" w:cs="仿宋_GB2312"/>
          <w:b w:val="0"/>
          <w:bCs w:val="0"/>
          <w:kern w:val="0"/>
          <w:sz w:val="30"/>
          <w:szCs w:val="30"/>
          <w:lang w:eastAsia="zh-CN"/>
        </w:rPr>
        <w:t>）积极开展优化经济环境工作。（</w:t>
      </w:r>
      <w:r>
        <w:rPr>
          <w:rFonts w:hint="eastAsia" w:ascii="仿宋_GB2312" w:hAnsi="仿宋_GB2312" w:eastAsia="仿宋_GB2312" w:cs="仿宋_GB2312"/>
          <w:b w:val="0"/>
          <w:bCs w:val="0"/>
          <w:kern w:val="0"/>
          <w:sz w:val="30"/>
          <w:szCs w:val="30"/>
          <w:lang w:val="en-US" w:eastAsia="zh-CN"/>
        </w:rPr>
        <w:t>5</w:t>
      </w:r>
      <w:r>
        <w:rPr>
          <w:rFonts w:hint="eastAsia" w:ascii="仿宋_GB2312" w:hAnsi="仿宋_GB2312" w:eastAsia="仿宋_GB2312" w:cs="仿宋_GB2312"/>
          <w:b w:val="0"/>
          <w:bCs w:val="0"/>
          <w:kern w:val="0"/>
          <w:sz w:val="30"/>
          <w:szCs w:val="30"/>
          <w:lang w:eastAsia="zh-CN"/>
        </w:rPr>
        <w:t>）全面推进协调服务工作。（</w:t>
      </w:r>
      <w:r>
        <w:rPr>
          <w:rFonts w:hint="eastAsia" w:ascii="仿宋_GB2312" w:hAnsi="仿宋_GB2312" w:eastAsia="仿宋_GB2312" w:cs="仿宋_GB2312"/>
          <w:b w:val="0"/>
          <w:bCs w:val="0"/>
          <w:kern w:val="0"/>
          <w:sz w:val="30"/>
          <w:szCs w:val="30"/>
          <w:lang w:val="en-US" w:eastAsia="zh-CN"/>
        </w:rPr>
        <w:t>6</w:t>
      </w:r>
      <w:r>
        <w:rPr>
          <w:rFonts w:hint="eastAsia" w:ascii="仿宋_GB2312" w:hAnsi="仿宋_GB2312" w:eastAsia="仿宋_GB2312" w:cs="仿宋_GB2312"/>
          <w:b w:val="0"/>
          <w:bCs w:val="0"/>
          <w:kern w:val="0"/>
          <w:sz w:val="30"/>
          <w:szCs w:val="30"/>
          <w:lang w:eastAsia="zh-CN"/>
        </w:rPr>
        <w:t>）多措并举推动禁毒工作</w:t>
      </w:r>
      <w:r>
        <w:rPr>
          <w:rFonts w:hint="eastAsia" w:ascii="仿宋_GB2312" w:hAnsi="仿宋_GB2312" w:eastAsia="仿宋_GB2312" w:cs="仿宋_GB2312"/>
          <w:b w:val="0"/>
          <w:bCs w:val="0"/>
          <w:kern w:val="0"/>
          <w:sz w:val="30"/>
          <w:szCs w:val="30"/>
          <w:lang w:val="en-US" w:eastAsia="zh-CN"/>
        </w:rPr>
        <w:t>,</w:t>
      </w:r>
      <w:r>
        <w:rPr>
          <w:rFonts w:hint="eastAsia" w:ascii="仿宋_GB2312" w:hAnsi="仿宋_GB2312" w:eastAsia="仿宋_GB2312" w:cs="仿宋_GB2312"/>
          <w:b w:val="0"/>
          <w:bCs w:val="0"/>
          <w:kern w:val="0"/>
          <w:sz w:val="30"/>
          <w:szCs w:val="30"/>
          <w:lang w:eastAsia="zh-CN"/>
        </w:rPr>
        <w:t>不断加强禁毒教育，严厉打击涉毒、贩毒、吸毒人员，禁毒工作进入怀化市先进行列。（</w:t>
      </w:r>
      <w:r>
        <w:rPr>
          <w:rFonts w:hint="eastAsia" w:ascii="仿宋_GB2312" w:hAnsi="仿宋_GB2312" w:eastAsia="仿宋_GB2312" w:cs="仿宋_GB2312"/>
          <w:b w:val="0"/>
          <w:bCs w:val="0"/>
          <w:kern w:val="0"/>
          <w:sz w:val="30"/>
          <w:szCs w:val="30"/>
          <w:lang w:val="en-US" w:eastAsia="zh-CN"/>
        </w:rPr>
        <w:t>7</w:t>
      </w:r>
      <w:r>
        <w:rPr>
          <w:rFonts w:hint="eastAsia" w:ascii="仿宋_GB2312" w:hAnsi="仿宋_GB2312" w:eastAsia="仿宋_GB2312" w:cs="仿宋_GB2312"/>
          <w:b w:val="0"/>
          <w:bCs w:val="0"/>
          <w:kern w:val="0"/>
          <w:sz w:val="30"/>
          <w:szCs w:val="30"/>
          <w:lang w:eastAsia="zh-CN"/>
        </w:rPr>
        <w:t>）多方联动保障道路安全。（</w:t>
      </w:r>
      <w:r>
        <w:rPr>
          <w:rFonts w:hint="eastAsia" w:ascii="仿宋_GB2312" w:hAnsi="仿宋_GB2312" w:eastAsia="仿宋_GB2312" w:cs="仿宋_GB2312"/>
          <w:b w:val="0"/>
          <w:bCs w:val="0"/>
          <w:kern w:val="0"/>
          <w:sz w:val="30"/>
          <w:szCs w:val="30"/>
          <w:lang w:val="en-US" w:eastAsia="zh-CN"/>
        </w:rPr>
        <w:t>8</w:t>
      </w:r>
      <w:r>
        <w:rPr>
          <w:rFonts w:hint="eastAsia" w:ascii="仿宋_GB2312" w:hAnsi="仿宋_GB2312" w:eastAsia="仿宋_GB2312" w:cs="仿宋_GB2312"/>
          <w:b w:val="0"/>
          <w:bCs w:val="0"/>
          <w:kern w:val="0"/>
          <w:sz w:val="30"/>
          <w:szCs w:val="30"/>
          <w:lang w:eastAsia="zh-CN"/>
        </w:rPr>
        <w:t>）凝心聚力发展中药材产业</w:t>
      </w:r>
      <w:r>
        <w:rPr>
          <w:rFonts w:hint="eastAsia" w:ascii="仿宋_GB2312" w:hAnsi="仿宋_GB2312" w:eastAsia="仿宋_GB2312" w:cs="仿宋_GB2312"/>
          <w:b w:val="0"/>
          <w:bCs w:val="0"/>
          <w:kern w:val="0"/>
          <w:sz w:val="30"/>
          <w:szCs w:val="30"/>
          <w:lang w:val="en-US" w:eastAsia="zh-CN"/>
        </w:rPr>
        <w:t>。</w:t>
      </w:r>
      <w:r>
        <w:rPr>
          <w:rFonts w:hint="eastAsia" w:ascii="仿宋_GB2312" w:hAnsi="仿宋_GB2312" w:eastAsia="仿宋_GB2312" w:cs="仿宋_GB2312"/>
          <w:b w:val="0"/>
          <w:bCs w:val="0"/>
          <w:kern w:val="0"/>
          <w:sz w:val="30"/>
          <w:szCs w:val="30"/>
          <w:lang w:eastAsia="zh-CN"/>
        </w:rPr>
        <w:t>（</w:t>
      </w:r>
      <w:r>
        <w:rPr>
          <w:rFonts w:hint="eastAsia" w:ascii="仿宋_GB2312" w:hAnsi="仿宋_GB2312" w:eastAsia="仿宋_GB2312" w:cs="仿宋_GB2312"/>
          <w:b w:val="0"/>
          <w:bCs w:val="0"/>
          <w:kern w:val="0"/>
          <w:sz w:val="30"/>
          <w:szCs w:val="30"/>
          <w:lang w:val="en-US" w:eastAsia="zh-CN"/>
        </w:rPr>
        <w:t>9</w:t>
      </w:r>
      <w:r>
        <w:rPr>
          <w:rFonts w:hint="eastAsia" w:ascii="仿宋_GB2312" w:hAnsi="仿宋_GB2312" w:eastAsia="仿宋_GB2312" w:cs="仿宋_GB2312"/>
          <w:b w:val="0"/>
          <w:bCs w:val="0"/>
          <w:kern w:val="0"/>
          <w:sz w:val="30"/>
          <w:szCs w:val="30"/>
          <w:lang w:eastAsia="zh-CN"/>
        </w:rPr>
        <w:t>）持续发力推动财税金融工作，力推“两行”开业，支持企业复工复产，推进不良贷款清收。（</w:t>
      </w:r>
      <w:r>
        <w:rPr>
          <w:rFonts w:hint="eastAsia" w:ascii="仿宋_GB2312" w:hAnsi="仿宋_GB2312" w:eastAsia="仿宋_GB2312" w:cs="仿宋_GB2312"/>
          <w:b w:val="0"/>
          <w:bCs w:val="0"/>
          <w:kern w:val="0"/>
          <w:sz w:val="30"/>
          <w:szCs w:val="30"/>
          <w:lang w:val="en-US" w:eastAsia="zh-CN"/>
        </w:rPr>
        <w:t>10</w:t>
      </w:r>
      <w:r>
        <w:rPr>
          <w:rFonts w:hint="eastAsia" w:ascii="仿宋_GB2312" w:hAnsi="仿宋_GB2312" w:eastAsia="仿宋_GB2312" w:cs="仿宋_GB2312"/>
          <w:b w:val="0"/>
          <w:bCs w:val="0"/>
          <w:kern w:val="0"/>
          <w:sz w:val="30"/>
          <w:szCs w:val="30"/>
          <w:lang w:eastAsia="zh-CN"/>
        </w:rPr>
        <w:t>）以贯之做好脱贫攻坚工作。（</w:t>
      </w:r>
      <w:r>
        <w:rPr>
          <w:rFonts w:hint="eastAsia" w:ascii="仿宋_GB2312" w:hAnsi="仿宋_GB2312" w:eastAsia="仿宋_GB2312" w:cs="仿宋_GB2312"/>
          <w:b w:val="0"/>
          <w:bCs w:val="0"/>
          <w:kern w:val="0"/>
          <w:sz w:val="30"/>
          <w:szCs w:val="30"/>
          <w:lang w:val="en-US" w:eastAsia="zh-CN"/>
        </w:rPr>
        <w:t>11</w:t>
      </w:r>
      <w:r>
        <w:rPr>
          <w:rFonts w:hint="eastAsia" w:ascii="仿宋_GB2312" w:hAnsi="仿宋_GB2312" w:eastAsia="仿宋_GB2312" w:cs="仿宋_GB2312"/>
          <w:b w:val="0"/>
          <w:bCs w:val="0"/>
          <w:kern w:val="0"/>
          <w:sz w:val="30"/>
          <w:szCs w:val="30"/>
          <w:lang w:eastAsia="zh-CN"/>
        </w:rPr>
        <w:t>）有效推进深化“放管服”工作。（</w:t>
      </w:r>
      <w:r>
        <w:rPr>
          <w:rFonts w:hint="eastAsia" w:ascii="仿宋_GB2312" w:hAnsi="仿宋_GB2312" w:eastAsia="仿宋_GB2312" w:cs="仿宋_GB2312"/>
          <w:b w:val="0"/>
          <w:bCs w:val="0"/>
          <w:kern w:val="0"/>
          <w:sz w:val="30"/>
          <w:szCs w:val="30"/>
          <w:lang w:val="en-US" w:eastAsia="zh-CN"/>
        </w:rPr>
        <w:t>12</w:t>
      </w:r>
      <w:r>
        <w:rPr>
          <w:rFonts w:hint="eastAsia" w:ascii="仿宋_GB2312" w:hAnsi="仿宋_GB2312" w:eastAsia="仿宋_GB2312" w:cs="仿宋_GB2312"/>
          <w:b w:val="0"/>
          <w:bCs w:val="0"/>
          <w:kern w:val="0"/>
          <w:sz w:val="30"/>
          <w:szCs w:val="30"/>
          <w:lang w:eastAsia="zh-CN"/>
        </w:rPr>
        <w:t>）强化职能做好机要人事工作。（</w:t>
      </w:r>
      <w:r>
        <w:rPr>
          <w:rFonts w:hint="eastAsia" w:ascii="仿宋_GB2312" w:hAnsi="仿宋_GB2312" w:eastAsia="仿宋_GB2312" w:cs="仿宋_GB2312"/>
          <w:b w:val="0"/>
          <w:bCs w:val="0"/>
          <w:kern w:val="0"/>
          <w:sz w:val="30"/>
          <w:szCs w:val="30"/>
          <w:lang w:val="en-US" w:eastAsia="zh-CN"/>
        </w:rPr>
        <w:t>13</w:t>
      </w:r>
      <w:r>
        <w:rPr>
          <w:rFonts w:hint="eastAsia" w:ascii="仿宋_GB2312" w:hAnsi="仿宋_GB2312" w:eastAsia="仿宋_GB2312" w:cs="仿宋_GB2312"/>
          <w:b w:val="0"/>
          <w:bCs w:val="0"/>
          <w:kern w:val="0"/>
          <w:sz w:val="30"/>
          <w:szCs w:val="30"/>
          <w:lang w:eastAsia="zh-CN"/>
        </w:rPr>
        <w:t>）保驾护航做好行政事务管理室工作。（</w:t>
      </w:r>
      <w:r>
        <w:rPr>
          <w:rFonts w:hint="eastAsia" w:ascii="仿宋_GB2312" w:hAnsi="仿宋_GB2312" w:eastAsia="仿宋_GB2312" w:cs="仿宋_GB2312"/>
          <w:b w:val="0"/>
          <w:bCs w:val="0"/>
          <w:kern w:val="0"/>
          <w:sz w:val="30"/>
          <w:szCs w:val="30"/>
          <w:lang w:val="en-US" w:eastAsia="zh-CN"/>
        </w:rPr>
        <w:t>14</w:t>
      </w:r>
      <w:r>
        <w:rPr>
          <w:rFonts w:hint="eastAsia" w:ascii="仿宋_GB2312" w:hAnsi="仿宋_GB2312" w:eastAsia="仿宋_GB2312" w:cs="仿宋_GB2312"/>
          <w:b w:val="0"/>
          <w:bCs w:val="0"/>
          <w:kern w:val="0"/>
          <w:sz w:val="30"/>
          <w:szCs w:val="30"/>
          <w:lang w:eastAsia="zh-CN"/>
        </w:rPr>
        <w:t>）出谋划策力推柑橘产业发展工作。</w:t>
      </w:r>
    </w:p>
    <w:p>
      <w:pPr>
        <w:pageBreakBefore w:val="0"/>
        <w:widowControl/>
        <w:kinsoku/>
        <w:wordWrap/>
        <w:overflowPunct/>
        <w:topLinePunct w:val="0"/>
        <w:autoSpaceDE/>
        <w:autoSpaceDN/>
        <w:bidi w:val="0"/>
        <w:adjustRightInd/>
        <w:spacing w:line="560" w:lineRule="exact"/>
        <w:ind w:firstLine="480"/>
        <w:textAlignment w:val="auto"/>
        <w:rPr>
          <w:rFonts w:hint="eastAsia" w:ascii="宋体" w:cs="宋体"/>
          <w:b/>
          <w:bCs/>
          <w:kern w:val="0"/>
          <w:sz w:val="32"/>
          <w:szCs w:val="32"/>
        </w:rPr>
      </w:pPr>
      <w:r>
        <w:rPr>
          <w:rFonts w:hint="eastAsia" w:ascii="宋体" w:cs="宋体"/>
          <w:b/>
          <w:bCs/>
          <w:kern w:val="0"/>
          <w:sz w:val="32"/>
          <w:szCs w:val="32"/>
        </w:rPr>
        <w:t>二、部门（单位）整体支出管理及使用情况</w:t>
      </w:r>
    </w:p>
    <w:p>
      <w:pPr>
        <w:pageBreakBefore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（一）基本支出</w:t>
      </w:r>
    </w:p>
    <w:p>
      <w:pPr>
        <w:spacing w:line="520" w:lineRule="exact"/>
        <w:ind w:firstLine="640"/>
        <w:rPr>
          <w:rFonts w:hint="eastAsia" w:ascii="仿宋_GB2312" w:hAnsi="仿宋_GB2312" w:eastAsia="仿宋_GB2312" w:cs="仿宋_GB2312"/>
          <w:kern w:val="1"/>
          <w:sz w:val="30"/>
          <w:szCs w:val="30"/>
        </w:rPr>
      </w:pPr>
      <w:r>
        <w:rPr>
          <w:rFonts w:hint="eastAsia" w:ascii="仿宋_GB2312" w:hAnsi="仿宋_GB2312" w:eastAsia="仿宋_GB2312" w:cs="仿宋_GB2312"/>
          <w:sz w:val="30"/>
          <w:szCs w:val="30"/>
          <w:lang w:eastAsia="zh-CN"/>
        </w:rPr>
        <w:t>全年基本支出</w:t>
      </w:r>
      <w:r>
        <w:rPr>
          <w:rFonts w:hint="eastAsia" w:ascii="仿宋_GB2312" w:hAnsi="仿宋_GB2312" w:eastAsia="仿宋_GB2312" w:cs="仿宋_GB2312"/>
          <w:sz w:val="30"/>
          <w:szCs w:val="30"/>
          <w:lang w:val="en-US" w:eastAsia="zh-CN"/>
        </w:rPr>
        <w:t>1240.71万元，占本年支出100%。其中：工资福利支出835.33万元，占本年支出</w:t>
      </w:r>
      <w:r>
        <w:rPr>
          <w:rFonts w:hint="eastAsia" w:ascii="仿宋_GB2312" w:hAnsi="仿宋_GB2312" w:eastAsia="仿宋_GB2312" w:cs="仿宋_GB2312"/>
          <w:kern w:val="1"/>
          <w:sz w:val="30"/>
          <w:szCs w:val="30"/>
          <w:lang w:val="en-US" w:eastAsia="zh-CN"/>
        </w:rPr>
        <w:t>67.33</w:t>
      </w:r>
      <w:r>
        <w:rPr>
          <w:rFonts w:hint="eastAsia" w:ascii="仿宋_GB2312" w:hAnsi="仿宋_GB2312" w:eastAsia="仿宋_GB2312" w:cs="仿宋_GB2312"/>
          <w:kern w:val="1"/>
          <w:sz w:val="30"/>
          <w:szCs w:val="30"/>
        </w:rPr>
        <w:t>%</w:t>
      </w:r>
      <w:r>
        <w:rPr>
          <w:rFonts w:hint="eastAsia" w:ascii="仿宋_GB2312" w:hAnsi="仿宋_GB2312" w:eastAsia="仿宋_GB2312" w:cs="仿宋_GB2312"/>
          <w:sz w:val="30"/>
          <w:szCs w:val="30"/>
          <w:lang w:val="en-US" w:eastAsia="zh-CN"/>
        </w:rPr>
        <w:t>，包括基本工资、津贴补贴、奖金、基本养老保险费、基本医疗保险费、其他社会保障缴费、住房公积金、其他工资福利支出；商品和服务支出363.82万元，占本年支出</w:t>
      </w:r>
      <w:r>
        <w:rPr>
          <w:rFonts w:hint="eastAsia" w:ascii="仿宋_GB2312" w:hAnsi="仿宋_GB2312" w:eastAsia="仿宋_GB2312" w:cs="仿宋_GB2312"/>
          <w:kern w:val="1"/>
          <w:sz w:val="30"/>
          <w:szCs w:val="30"/>
          <w:lang w:val="en-US" w:eastAsia="zh-CN"/>
        </w:rPr>
        <w:t>29.32</w:t>
      </w:r>
      <w:r>
        <w:rPr>
          <w:rFonts w:hint="eastAsia" w:ascii="仿宋_GB2312" w:hAnsi="仿宋_GB2312" w:eastAsia="仿宋_GB2312" w:cs="仿宋_GB2312"/>
          <w:kern w:val="1"/>
          <w:sz w:val="30"/>
          <w:szCs w:val="30"/>
        </w:rPr>
        <w:t>%</w:t>
      </w:r>
      <w:r>
        <w:rPr>
          <w:rFonts w:hint="eastAsia" w:ascii="仿宋_GB2312" w:hAnsi="仿宋_GB2312" w:eastAsia="仿宋_GB2312" w:cs="仿宋_GB2312"/>
          <w:sz w:val="30"/>
          <w:szCs w:val="30"/>
          <w:lang w:val="en-US" w:eastAsia="zh-CN"/>
        </w:rPr>
        <w:t>，包括办公费、邮电费、差旅费、会议费、公务接待费、维修维护费、劳务费、工会经费、公车运行及维护、其他交通费、其他商品和服务支出；</w:t>
      </w:r>
      <w:r>
        <w:rPr>
          <w:rFonts w:hint="eastAsia" w:ascii="仿宋_GB2312" w:hAnsi="仿宋_GB2312" w:eastAsia="仿宋_GB2312" w:cs="仿宋_GB2312"/>
          <w:kern w:val="1"/>
          <w:sz w:val="30"/>
          <w:szCs w:val="30"/>
          <w:lang w:eastAsia="zh-CN"/>
        </w:rPr>
        <w:t>对个人和家庭的补助支出</w:t>
      </w:r>
      <w:r>
        <w:rPr>
          <w:rFonts w:hint="eastAsia" w:ascii="仿宋_GB2312" w:hAnsi="仿宋_GB2312" w:eastAsia="仿宋_GB2312" w:cs="仿宋_GB2312"/>
          <w:kern w:val="1"/>
          <w:sz w:val="30"/>
          <w:szCs w:val="30"/>
          <w:lang w:val="en-US" w:eastAsia="zh-CN"/>
        </w:rPr>
        <w:t>39.80万元，</w:t>
      </w:r>
      <w:r>
        <w:rPr>
          <w:rFonts w:hint="eastAsia" w:ascii="仿宋_GB2312" w:hAnsi="仿宋_GB2312" w:eastAsia="仿宋_GB2312" w:cs="仿宋_GB2312"/>
          <w:kern w:val="1"/>
          <w:sz w:val="30"/>
          <w:szCs w:val="30"/>
        </w:rPr>
        <w:t>占本年支出</w:t>
      </w:r>
      <w:r>
        <w:rPr>
          <w:rFonts w:hint="eastAsia" w:ascii="仿宋_GB2312" w:hAnsi="仿宋_GB2312" w:eastAsia="仿宋_GB2312" w:cs="仿宋_GB2312"/>
          <w:kern w:val="1"/>
          <w:sz w:val="30"/>
          <w:szCs w:val="30"/>
          <w:lang w:val="en-US" w:eastAsia="zh-CN"/>
        </w:rPr>
        <w:t>3.21</w:t>
      </w:r>
      <w:r>
        <w:rPr>
          <w:rFonts w:hint="eastAsia" w:ascii="仿宋_GB2312" w:hAnsi="仿宋_GB2312" w:eastAsia="仿宋_GB2312" w:cs="仿宋_GB2312"/>
          <w:kern w:val="1"/>
          <w:sz w:val="30"/>
          <w:szCs w:val="30"/>
        </w:rPr>
        <w:t>%；资本性支出</w:t>
      </w:r>
      <w:r>
        <w:rPr>
          <w:rFonts w:hint="eastAsia" w:ascii="仿宋_GB2312" w:hAnsi="仿宋_GB2312" w:eastAsia="仿宋_GB2312" w:cs="仿宋_GB2312"/>
          <w:kern w:val="1"/>
          <w:sz w:val="30"/>
          <w:szCs w:val="30"/>
          <w:lang w:val="en-US" w:eastAsia="zh-CN"/>
        </w:rPr>
        <w:t>1.76</w:t>
      </w:r>
      <w:r>
        <w:rPr>
          <w:rFonts w:hint="eastAsia" w:ascii="仿宋_GB2312" w:hAnsi="仿宋_GB2312" w:eastAsia="仿宋_GB2312" w:cs="仿宋_GB2312"/>
          <w:kern w:val="1"/>
          <w:sz w:val="30"/>
          <w:szCs w:val="30"/>
        </w:rPr>
        <w:t>万元，占本年支出</w:t>
      </w:r>
      <w:r>
        <w:rPr>
          <w:rFonts w:hint="eastAsia" w:ascii="仿宋_GB2312" w:hAnsi="仿宋_GB2312" w:eastAsia="仿宋_GB2312" w:cs="仿宋_GB2312"/>
          <w:kern w:val="1"/>
          <w:sz w:val="30"/>
          <w:szCs w:val="30"/>
          <w:lang w:val="en-US" w:eastAsia="zh-CN"/>
        </w:rPr>
        <w:t>0.14</w:t>
      </w:r>
      <w:r>
        <w:rPr>
          <w:rFonts w:hint="eastAsia" w:ascii="仿宋_GB2312" w:hAnsi="仿宋_GB2312" w:eastAsia="仿宋_GB2312" w:cs="仿宋_GB2312"/>
          <w:kern w:val="1"/>
          <w:sz w:val="30"/>
          <w:szCs w:val="30"/>
        </w:rPr>
        <w:t>%。</w:t>
      </w:r>
    </w:p>
    <w:p>
      <w:pPr>
        <w:shd w:val="clear" w:color="auto" w:fill="FFFFFF"/>
        <w:spacing w:line="600" w:lineRule="exact"/>
        <w:ind w:firstLine="709"/>
        <w:rPr>
          <w:rFonts w:hint="eastAsia" w:ascii="仿宋_GB2312" w:hAnsi="仿宋_GB2312" w:eastAsia="仿宋_GB2312" w:cs="仿宋_GB2312"/>
          <w:color w:val="auto"/>
          <w:sz w:val="30"/>
          <w:szCs w:val="30"/>
        </w:rPr>
      </w:pPr>
      <w:r>
        <w:rPr>
          <w:rFonts w:hint="eastAsia" w:ascii="仿宋_GB2312" w:hAnsi="仿宋_GB2312" w:eastAsia="仿宋_GB2312" w:cs="仿宋_GB2312"/>
          <w:kern w:val="1"/>
          <w:sz w:val="30"/>
          <w:szCs w:val="30"/>
        </w:rPr>
        <w:t>三公”经费支出情况：</w:t>
      </w:r>
      <w:r>
        <w:rPr>
          <w:rFonts w:hint="eastAsia" w:ascii="仿宋_GB2312" w:hAnsi="仿宋_GB2312" w:eastAsia="仿宋_GB2312" w:cs="仿宋_GB2312"/>
          <w:color w:val="auto"/>
          <w:sz w:val="30"/>
          <w:szCs w:val="30"/>
        </w:rPr>
        <w:t>20</w:t>
      </w:r>
      <w:r>
        <w:rPr>
          <w:rFonts w:hint="eastAsia" w:ascii="仿宋_GB2312" w:hAnsi="仿宋_GB2312" w:eastAsia="仿宋_GB2312" w:cs="仿宋_GB2312"/>
          <w:color w:val="auto"/>
          <w:sz w:val="30"/>
          <w:szCs w:val="30"/>
          <w:lang w:val="en-US" w:eastAsia="zh-CN"/>
        </w:rPr>
        <w:t>20</w:t>
      </w:r>
      <w:r>
        <w:rPr>
          <w:rFonts w:hint="eastAsia" w:ascii="仿宋_GB2312" w:hAnsi="仿宋_GB2312" w:eastAsia="仿宋_GB2312" w:cs="仿宋_GB2312"/>
          <w:color w:val="auto"/>
          <w:sz w:val="30"/>
          <w:szCs w:val="30"/>
        </w:rPr>
        <w:t>年“三公”经费预算数为</w:t>
      </w:r>
      <w:r>
        <w:rPr>
          <w:rFonts w:hint="eastAsia" w:ascii="仿宋_GB2312" w:hAnsi="仿宋_GB2312" w:eastAsia="仿宋_GB2312" w:cs="仿宋_GB2312"/>
          <w:sz w:val="30"/>
          <w:szCs w:val="30"/>
          <w:lang w:val="en-US" w:eastAsia="zh-CN"/>
        </w:rPr>
        <w:t>65.58</w:t>
      </w:r>
      <w:r>
        <w:rPr>
          <w:rFonts w:hint="eastAsia" w:ascii="仿宋_GB2312" w:hAnsi="仿宋_GB2312" w:eastAsia="仿宋_GB2312" w:cs="仿宋_GB2312"/>
          <w:color w:val="auto"/>
          <w:sz w:val="30"/>
          <w:szCs w:val="30"/>
        </w:rPr>
        <w:t>万元，其中，公务接待费</w:t>
      </w:r>
      <w:r>
        <w:rPr>
          <w:rFonts w:hint="eastAsia" w:ascii="仿宋_GB2312" w:hAnsi="仿宋_GB2312" w:eastAsia="仿宋_GB2312" w:cs="仿宋_GB2312"/>
          <w:color w:val="auto"/>
          <w:sz w:val="30"/>
          <w:szCs w:val="30"/>
          <w:lang w:val="en-US" w:eastAsia="zh-CN"/>
        </w:rPr>
        <w:t>49</w:t>
      </w:r>
      <w:r>
        <w:rPr>
          <w:rFonts w:hint="eastAsia" w:ascii="仿宋_GB2312" w:hAnsi="仿宋_GB2312" w:eastAsia="仿宋_GB2312" w:cs="仿宋_GB2312"/>
          <w:color w:val="auto"/>
          <w:sz w:val="30"/>
          <w:szCs w:val="30"/>
        </w:rPr>
        <w:t>万元，公务用车购置及运行费</w:t>
      </w:r>
      <w:r>
        <w:rPr>
          <w:rFonts w:hint="eastAsia" w:ascii="仿宋_GB2312" w:hAnsi="仿宋_GB2312" w:eastAsia="仿宋_GB2312" w:cs="仿宋_GB2312"/>
          <w:color w:val="auto"/>
          <w:sz w:val="30"/>
          <w:szCs w:val="30"/>
          <w:lang w:val="en-US" w:eastAsia="zh-CN"/>
        </w:rPr>
        <w:t>16.58</w:t>
      </w:r>
      <w:r>
        <w:rPr>
          <w:rFonts w:hint="eastAsia" w:ascii="仿宋_GB2312" w:hAnsi="仿宋_GB2312" w:eastAsia="仿宋_GB2312" w:cs="仿宋_GB2312"/>
          <w:color w:val="auto"/>
          <w:sz w:val="30"/>
          <w:szCs w:val="30"/>
        </w:rPr>
        <w:t>万元，20</w:t>
      </w:r>
      <w:r>
        <w:rPr>
          <w:rFonts w:hint="eastAsia" w:ascii="仿宋_GB2312" w:hAnsi="仿宋_GB2312" w:eastAsia="仿宋_GB2312" w:cs="仿宋_GB2312"/>
          <w:color w:val="auto"/>
          <w:sz w:val="30"/>
          <w:szCs w:val="30"/>
          <w:lang w:val="en-US" w:eastAsia="zh-CN"/>
        </w:rPr>
        <w:t>20</w:t>
      </w:r>
      <w:r>
        <w:rPr>
          <w:rFonts w:hint="eastAsia" w:ascii="仿宋_GB2312" w:hAnsi="仿宋_GB2312" w:eastAsia="仿宋_GB2312" w:cs="仿宋_GB2312"/>
          <w:color w:val="auto"/>
          <w:sz w:val="30"/>
          <w:szCs w:val="30"/>
        </w:rPr>
        <w:t>年“三公”经费预算较20</w:t>
      </w:r>
      <w:r>
        <w:rPr>
          <w:rFonts w:hint="eastAsia" w:ascii="仿宋_GB2312" w:hAnsi="仿宋_GB2312" w:eastAsia="仿宋_GB2312" w:cs="仿宋_GB2312"/>
          <w:color w:val="auto"/>
          <w:sz w:val="30"/>
          <w:szCs w:val="30"/>
          <w:lang w:val="en-US" w:eastAsia="zh-CN"/>
        </w:rPr>
        <w:t>19</w:t>
      </w:r>
      <w:r>
        <w:rPr>
          <w:rFonts w:hint="eastAsia" w:ascii="仿宋_GB2312" w:hAnsi="仿宋_GB2312" w:eastAsia="仿宋_GB2312" w:cs="仿宋_GB2312"/>
          <w:color w:val="auto"/>
          <w:sz w:val="30"/>
          <w:szCs w:val="30"/>
        </w:rPr>
        <w:t>年减</w:t>
      </w:r>
      <w:r>
        <w:rPr>
          <w:rFonts w:hint="eastAsia" w:ascii="仿宋_GB2312" w:hAnsi="仿宋_GB2312" w:eastAsia="仿宋_GB2312" w:cs="仿宋_GB2312"/>
          <w:color w:val="auto"/>
          <w:sz w:val="30"/>
          <w:szCs w:val="30"/>
          <w:lang w:val="en-US" w:eastAsia="zh-CN"/>
        </w:rPr>
        <w:t>10</w:t>
      </w:r>
      <w:r>
        <w:rPr>
          <w:rFonts w:hint="eastAsia" w:ascii="仿宋_GB2312" w:hAnsi="仿宋_GB2312" w:eastAsia="仿宋_GB2312" w:cs="仿宋_GB2312"/>
          <w:color w:val="auto"/>
          <w:sz w:val="30"/>
          <w:szCs w:val="30"/>
        </w:rPr>
        <w:t>万元。20</w:t>
      </w:r>
      <w:r>
        <w:rPr>
          <w:rFonts w:hint="eastAsia" w:ascii="仿宋_GB2312" w:hAnsi="仿宋_GB2312" w:eastAsia="仿宋_GB2312" w:cs="仿宋_GB2312"/>
          <w:color w:val="auto"/>
          <w:sz w:val="30"/>
          <w:szCs w:val="30"/>
          <w:lang w:val="en-US" w:eastAsia="zh-CN"/>
        </w:rPr>
        <w:t>20</w:t>
      </w:r>
      <w:r>
        <w:rPr>
          <w:rFonts w:hint="eastAsia" w:ascii="仿宋_GB2312" w:hAnsi="仿宋_GB2312" w:eastAsia="仿宋_GB2312" w:cs="仿宋_GB2312"/>
          <w:color w:val="auto"/>
          <w:sz w:val="30"/>
          <w:szCs w:val="30"/>
        </w:rPr>
        <w:t>年“三公”经费实际发生数较年初预算数减少</w:t>
      </w:r>
      <w:r>
        <w:rPr>
          <w:rFonts w:hint="eastAsia" w:ascii="仿宋_GB2312" w:hAnsi="仿宋_GB2312" w:eastAsia="仿宋_GB2312" w:cs="仿宋_GB2312"/>
          <w:color w:val="auto"/>
          <w:sz w:val="30"/>
          <w:szCs w:val="30"/>
          <w:lang w:val="en-US" w:eastAsia="zh-CN"/>
        </w:rPr>
        <w:t>45.11</w:t>
      </w:r>
      <w:r>
        <w:rPr>
          <w:rFonts w:hint="eastAsia" w:ascii="仿宋_GB2312" w:hAnsi="仿宋_GB2312" w:eastAsia="仿宋_GB2312" w:cs="仿宋_GB2312"/>
          <w:color w:val="auto"/>
          <w:sz w:val="30"/>
          <w:szCs w:val="30"/>
        </w:rPr>
        <w:t>万元，减少的原因是本单位严格执行中央、省市厉行节约的各项规定，加强内部监督管理，全年公务接待</w:t>
      </w:r>
      <w:r>
        <w:rPr>
          <w:rFonts w:hint="eastAsia" w:ascii="仿宋_GB2312" w:hAnsi="仿宋_GB2312" w:eastAsia="仿宋_GB2312" w:cs="仿宋_GB2312"/>
          <w:color w:val="auto"/>
          <w:sz w:val="30"/>
          <w:szCs w:val="30"/>
          <w:lang w:val="en-US" w:eastAsia="zh-CN"/>
        </w:rPr>
        <w:t>191</w:t>
      </w:r>
      <w:r>
        <w:rPr>
          <w:rFonts w:hint="eastAsia" w:ascii="仿宋_GB2312" w:hAnsi="仿宋_GB2312" w:eastAsia="仿宋_GB2312" w:cs="仿宋_GB2312"/>
          <w:color w:val="auto"/>
          <w:sz w:val="30"/>
          <w:szCs w:val="30"/>
        </w:rPr>
        <w:t>批次及</w:t>
      </w:r>
      <w:r>
        <w:rPr>
          <w:rFonts w:hint="eastAsia" w:ascii="仿宋_GB2312" w:hAnsi="仿宋_GB2312" w:eastAsia="仿宋_GB2312" w:cs="仿宋_GB2312"/>
          <w:color w:val="auto"/>
          <w:sz w:val="30"/>
          <w:szCs w:val="30"/>
          <w:lang w:val="en-US" w:eastAsia="zh-CN"/>
        </w:rPr>
        <w:t>1337</w:t>
      </w:r>
      <w:r>
        <w:rPr>
          <w:rFonts w:hint="eastAsia" w:ascii="仿宋_GB2312" w:hAnsi="仿宋_GB2312" w:eastAsia="仿宋_GB2312" w:cs="仿宋_GB2312"/>
          <w:color w:val="auto"/>
          <w:sz w:val="30"/>
          <w:szCs w:val="30"/>
        </w:rPr>
        <w:t>人数。</w:t>
      </w:r>
    </w:p>
    <w:p>
      <w:pPr>
        <w:pageBreakBefore w:val="0"/>
        <w:numPr>
          <w:ilvl w:val="0"/>
          <w:numId w:val="0"/>
        </w:numPr>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（二）专项支出</w:t>
      </w:r>
    </w:p>
    <w:p>
      <w:pPr>
        <w:spacing w:line="580" w:lineRule="exact"/>
        <w:ind w:firstLine="480"/>
        <w:rPr>
          <w:rFonts w:hint="eastAsia" w:ascii="仿宋" w:hAnsi="仿宋" w:eastAsia="仿宋" w:cs="仿宋"/>
          <w:color w:val="auto"/>
          <w:sz w:val="32"/>
          <w:szCs w:val="32"/>
        </w:rPr>
      </w:pPr>
      <w:r>
        <w:rPr>
          <w:rFonts w:hint="eastAsia" w:ascii="仿宋" w:hAnsi="仿宋" w:eastAsia="仿宋" w:cs="仿宋"/>
          <w:color w:val="auto"/>
          <w:sz w:val="32"/>
          <w:szCs w:val="32"/>
        </w:rPr>
        <w:t>本单位无项目支出</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（三）部门（单位）专项组织实施情况</w:t>
      </w:r>
    </w:p>
    <w:p>
      <w:pPr>
        <w:spacing w:line="580" w:lineRule="exact"/>
        <w:ind w:firstLine="480"/>
        <w:rPr>
          <w:rFonts w:hint="eastAsia" w:ascii="仿宋_GB2312" w:eastAsia="仿宋_GB2312" w:cs="宋体"/>
          <w:kern w:val="0"/>
          <w:sz w:val="28"/>
          <w:szCs w:val="28"/>
          <w:lang w:eastAsia="zh-CN"/>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本单位无项目支出</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（四）部门（单位）整体支出绩效情况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eastAsia="仿宋_GB2312" w:cs="宋体"/>
          <w:b w:val="0"/>
          <w:bCs w:val="0"/>
          <w:kern w:val="0"/>
          <w:sz w:val="30"/>
          <w:szCs w:val="30"/>
          <w:lang w:val="en-US" w:eastAsia="zh-CN"/>
        </w:rPr>
      </w:pPr>
      <w:r>
        <w:rPr>
          <w:rFonts w:hint="eastAsia" w:ascii="仿宋_GB2312" w:eastAsia="仿宋_GB2312" w:cs="宋体"/>
          <w:b w:val="0"/>
          <w:bCs w:val="0"/>
          <w:kern w:val="0"/>
          <w:sz w:val="30"/>
          <w:szCs w:val="30"/>
          <w:lang w:val="en-US" w:eastAsia="zh-CN"/>
        </w:rPr>
        <w:t xml:space="preserve">   （1）持之以恒抓实党建。做到三个到位，精心部署到位，责任制落实到位，党建工作基础保障到位。</w:t>
      </w:r>
      <w:r>
        <w:rPr>
          <w:rFonts w:hint="eastAsia" w:ascii="仿宋_GB2312" w:eastAsia="仿宋_GB2312" w:cs="宋体"/>
          <w:b w:val="0"/>
          <w:bCs w:val="0"/>
          <w:kern w:val="0"/>
          <w:sz w:val="30"/>
          <w:szCs w:val="30"/>
          <w:lang w:eastAsia="zh-CN"/>
        </w:rPr>
        <w:t>（</w:t>
      </w:r>
      <w:r>
        <w:rPr>
          <w:rFonts w:hint="eastAsia" w:ascii="仿宋_GB2312" w:eastAsia="仿宋_GB2312" w:cs="宋体"/>
          <w:b w:val="0"/>
          <w:bCs w:val="0"/>
          <w:kern w:val="0"/>
          <w:sz w:val="30"/>
          <w:szCs w:val="30"/>
          <w:lang w:val="en-US" w:eastAsia="zh-CN"/>
        </w:rPr>
        <w:t>2</w:t>
      </w:r>
      <w:r>
        <w:rPr>
          <w:rFonts w:hint="eastAsia" w:ascii="仿宋_GB2312" w:eastAsia="仿宋_GB2312" w:cs="宋体"/>
          <w:b w:val="0"/>
          <w:bCs w:val="0"/>
          <w:kern w:val="0"/>
          <w:sz w:val="30"/>
          <w:szCs w:val="30"/>
          <w:lang w:eastAsia="zh-CN"/>
        </w:rPr>
        <w:t>）全力以赴做好督查督办。紧紧围绕洪江市委、市政府重大决策和重要工作部署，着力强化督办落实，创新督查方式，做到“四个结合”，对脱贫攻坚、重点项目建设、深化放管服改革、真抓实干、争资引项、环保问题整改、不良贷款清收、国务院“互联网+督查”平台留言办理、会风会纪、柑橘销售等各类事项督办489件，呈报《督查专报》44期、下发《督查通报》9期、防疫督查简报及通报17期、交办督办函116份，督办办理人大建议73件及政协提案76件。切实提高了督查实效，使各项工作真正落到实处。（</w:t>
      </w:r>
      <w:r>
        <w:rPr>
          <w:rFonts w:hint="eastAsia" w:ascii="仿宋_GB2312" w:eastAsia="仿宋_GB2312" w:cs="宋体"/>
          <w:b w:val="0"/>
          <w:bCs w:val="0"/>
          <w:kern w:val="0"/>
          <w:sz w:val="30"/>
          <w:szCs w:val="30"/>
          <w:lang w:val="en-US" w:eastAsia="zh-CN"/>
        </w:rPr>
        <w:t>3</w:t>
      </w:r>
      <w:r>
        <w:rPr>
          <w:rFonts w:hint="eastAsia" w:ascii="仿宋_GB2312" w:eastAsia="仿宋_GB2312" w:cs="宋体"/>
          <w:b w:val="0"/>
          <w:bCs w:val="0"/>
          <w:kern w:val="0"/>
          <w:sz w:val="30"/>
          <w:szCs w:val="30"/>
          <w:lang w:eastAsia="zh-CN"/>
        </w:rPr>
        <w:t>）高瞻深入开展调查研究。高质量完成了市“两会”《政府工作报告》、市委经济工作会议等材料。深入实地，实事求是，对全市政治、经济、社会发展等方面的重大问题开展调查研究，25次调研成果进入市委市政府领导决策圈，上百条意见建议被市领导采纳。政务信息继续在怀化市排名前列。（</w:t>
      </w:r>
      <w:r>
        <w:rPr>
          <w:rFonts w:hint="eastAsia" w:ascii="仿宋_GB2312" w:eastAsia="仿宋_GB2312" w:cs="宋体"/>
          <w:b w:val="0"/>
          <w:bCs w:val="0"/>
          <w:kern w:val="0"/>
          <w:sz w:val="30"/>
          <w:szCs w:val="30"/>
          <w:lang w:val="en-US" w:eastAsia="zh-CN"/>
        </w:rPr>
        <w:t>4</w:t>
      </w:r>
      <w:r>
        <w:rPr>
          <w:rFonts w:hint="eastAsia" w:ascii="仿宋_GB2312" w:eastAsia="仿宋_GB2312" w:cs="宋体"/>
          <w:b w:val="0"/>
          <w:bCs w:val="0"/>
          <w:kern w:val="0"/>
          <w:sz w:val="30"/>
          <w:szCs w:val="30"/>
          <w:lang w:eastAsia="zh-CN"/>
        </w:rPr>
        <w:t>）积极开展优化经济环境工作。制定了《洪江市2020年营商环境主要指标补短板强弱项工作方案》《洪江市2020年优化营商环境工作要点》《洪江市2020年优化营商环境工作考核评价办法》，对政策落实情况实行“一月一调度”，严格按照怀化要求的时间节点完成了各项工作任务。（</w:t>
      </w:r>
      <w:r>
        <w:rPr>
          <w:rFonts w:hint="eastAsia" w:ascii="仿宋_GB2312" w:eastAsia="仿宋_GB2312" w:cs="宋体"/>
          <w:b w:val="0"/>
          <w:bCs w:val="0"/>
          <w:kern w:val="0"/>
          <w:sz w:val="30"/>
          <w:szCs w:val="30"/>
          <w:lang w:val="en-US" w:eastAsia="zh-CN"/>
        </w:rPr>
        <w:t>5</w:t>
      </w:r>
      <w:r>
        <w:rPr>
          <w:rFonts w:hint="eastAsia" w:ascii="仿宋_GB2312" w:eastAsia="仿宋_GB2312" w:cs="宋体"/>
          <w:b w:val="0"/>
          <w:bCs w:val="0"/>
          <w:kern w:val="0"/>
          <w:sz w:val="30"/>
          <w:szCs w:val="30"/>
          <w:lang w:eastAsia="zh-CN"/>
        </w:rPr>
        <w:t>）全面推进协调服务工作。市政府办不断提高协调服务水平，有效保障了各项工作的运转和政府各项决策落到实处。（</w:t>
      </w:r>
      <w:r>
        <w:rPr>
          <w:rFonts w:hint="eastAsia" w:ascii="仿宋_GB2312" w:eastAsia="仿宋_GB2312" w:cs="宋体"/>
          <w:b w:val="0"/>
          <w:bCs w:val="0"/>
          <w:kern w:val="0"/>
          <w:sz w:val="30"/>
          <w:szCs w:val="30"/>
          <w:lang w:val="en-US" w:eastAsia="zh-CN"/>
        </w:rPr>
        <w:t>6</w:t>
      </w:r>
      <w:r>
        <w:rPr>
          <w:rFonts w:hint="eastAsia" w:ascii="仿宋_GB2312" w:eastAsia="仿宋_GB2312" w:cs="宋体"/>
          <w:b w:val="0"/>
          <w:bCs w:val="0"/>
          <w:kern w:val="0"/>
          <w:sz w:val="30"/>
          <w:szCs w:val="30"/>
          <w:lang w:eastAsia="zh-CN"/>
        </w:rPr>
        <w:t>）多措并举推动禁毒工作</w:t>
      </w:r>
      <w:r>
        <w:rPr>
          <w:rFonts w:hint="eastAsia" w:ascii="仿宋_GB2312" w:eastAsia="仿宋_GB2312" w:cs="宋体"/>
          <w:b w:val="0"/>
          <w:bCs w:val="0"/>
          <w:kern w:val="0"/>
          <w:sz w:val="30"/>
          <w:szCs w:val="30"/>
          <w:lang w:val="en-US" w:eastAsia="zh-CN"/>
        </w:rPr>
        <w:t>,</w:t>
      </w:r>
      <w:r>
        <w:rPr>
          <w:rFonts w:hint="eastAsia" w:ascii="仿宋_GB2312" w:eastAsia="仿宋_GB2312" w:cs="宋体"/>
          <w:b w:val="0"/>
          <w:bCs w:val="0"/>
          <w:kern w:val="0"/>
          <w:sz w:val="30"/>
          <w:szCs w:val="30"/>
          <w:lang w:eastAsia="zh-CN"/>
        </w:rPr>
        <w:t>不断加强禁毒教育，严厉打击涉毒、贩毒、吸毒人员，禁毒工作进入怀化市先进行列。（</w:t>
      </w:r>
      <w:r>
        <w:rPr>
          <w:rFonts w:hint="eastAsia" w:ascii="仿宋_GB2312" w:eastAsia="仿宋_GB2312" w:cs="宋体"/>
          <w:b w:val="0"/>
          <w:bCs w:val="0"/>
          <w:kern w:val="0"/>
          <w:sz w:val="30"/>
          <w:szCs w:val="30"/>
          <w:lang w:val="en-US" w:eastAsia="zh-CN"/>
        </w:rPr>
        <w:t>7</w:t>
      </w:r>
      <w:r>
        <w:rPr>
          <w:rFonts w:hint="eastAsia" w:ascii="仿宋_GB2312" w:eastAsia="仿宋_GB2312" w:cs="宋体"/>
          <w:b w:val="0"/>
          <w:bCs w:val="0"/>
          <w:kern w:val="0"/>
          <w:sz w:val="30"/>
          <w:szCs w:val="30"/>
          <w:lang w:eastAsia="zh-CN"/>
        </w:rPr>
        <w:t>）多方联动保障道路安全。大力消除风险隐患，对辖区G320、G241、G209国道，S334省道71处隐患点进行专项整治、有效保障了道路运输安全。（</w:t>
      </w:r>
      <w:r>
        <w:rPr>
          <w:rFonts w:hint="eastAsia" w:ascii="仿宋_GB2312" w:eastAsia="仿宋_GB2312" w:cs="宋体"/>
          <w:b w:val="0"/>
          <w:bCs w:val="0"/>
          <w:kern w:val="0"/>
          <w:sz w:val="30"/>
          <w:szCs w:val="30"/>
          <w:lang w:val="en-US" w:eastAsia="zh-CN"/>
        </w:rPr>
        <w:t>8</w:t>
      </w:r>
      <w:r>
        <w:rPr>
          <w:rFonts w:hint="eastAsia" w:ascii="仿宋_GB2312" w:eastAsia="仿宋_GB2312" w:cs="宋体"/>
          <w:b w:val="0"/>
          <w:bCs w:val="0"/>
          <w:kern w:val="0"/>
          <w:sz w:val="30"/>
          <w:szCs w:val="30"/>
          <w:lang w:eastAsia="zh-CN"/>
        </w:rPr>
        <w:t>）凝心聚力发展中药材产业</w:t>
      </w:r>
      <w:r>
        <w:rPr>
          <w:rFonts w:hint="eastAsia" w:ascii="仿宋_GB2312" w:eastAsia="仿宋_GB2312" w:cs="宋体"/>
          <w:b w:val="0"/>
          <w:bCs w:val="0"/>
          <w:kern w:val="0"/>
          <w:sz w:val="30"/>
          <w:szCs w:val="30"/>
          <w:lang w:val="en-US" w:eastAsia="zh-CN"/>
        </w:rPr>
        <w:t>,不断抓好中药材基地建设,同时，加强中药材品牌建设。</w:t>
      </w:r>
      <w:r>
        <w:rPr>
          <w:rFonts w:hint="eastAsia" w:ascii="仿宋_GB2312" w:eastAsia="仿宋_GB2312" w:cs="宋体"/>
          <w:b w:val="0"/>
          <w:bCs w:val="0"/>
          <w:kern w:val="0"/>
          <w:sz w:val="30"/>
          <w:szCs w:val="30"/>
          <w:lang w:eastAsia="zh-CN"/>
        </w:rPr>
        <w:t>（</w:t>
      </w:r>
      <w:r>
        <w:rPr>
          <w:rFonts w:hint="eastAsia" w:ascii="仿宋_GB2312" w:eastAsia="仿宋_GB2312" w:cs="宋体"/>
          <w:b w:val="0"/>
          <w:bCs w:val="0"/>
          <w:kern w:val="0"/>
          <w:sz w:val="30"/>
          <w:szCs w:val="30"/>
          <w:lang w:val="en-US" w:eastAsia="zh-CN"/>
        </w:rPr>
        <w:t>9</w:t>
      </w:r>
      <w:r>
        <w:rPr>
          <w:rFonts w:hint="eastAsia" w:ascii="仿宋_GB2312" w:eastAsia="仿宋_GB2312" w:cs="宋体"/>
          <w:b w:val="0"/>
          <w:bCs w:val="0"/>
          <w:kern w:val="0"/>
          <w:sz w:val="30"/>
          <w:szCs w:val="30"/>
          <w:lang w:eastAsia="zh-CN"/>
        </w:rPr>
        <w:t>）持续发力推动财税金融工作，力推“两行”开业，支持企业复工复产，推进不良贷款清收。（</w:t>
      </w:r>
      <w:r>
        <w:rPr>
          <w:rFonts w:hint="eastAsia" w:ascii="仿宋_GB2312" w:eastAsia="仿宋_GB2312" w:cs="宋体"/>
          <w:b w:val="0"/>
          <w:bCs w:val="0"/>
          <w:kern w:val="0"/>
          <w:sz w:val="30"/>
          <w:szCs w:val="30"/>
          <w:lang w:val="en-US" w:eastAsia="zh-CN"/>
        </w:rPr>
        <w:t>10</w:t>
      </w:r>
      <w:r>
        <w:rPr>
          <w:rFonts w:hint="eastAsia" w:ascii="仿宋_GB2312" w:eastAsia="仿宋_GB2312" w:cs="宋体"/>
          <w:b w:val="0"/>
          <w:bCs w:val="0"/>
          <w:kern w:val="0"/>
          <w:sz w:val="30"/>
          <w:szCs w:val="30"/>
          <w:lang w:eastAsia="zh-CN"/>
        </w:rPr>
        <w:t>）以贯之做好脱贫攻坚工作。始终坚持将脱贫攻坚作为第一政治要务抓，对标“两不愁三保障”，瞄准突出问题和薄弱环节，切实做到五个到位。（</w:t>
      </w:r>
      <w:r>
        <w:rPr>
          <w:rFonts w:hint="eastAsia" w:ascii="仿宋_GB2312" w:eastAsia="仿宋_GB2312" w:cs="宋体"/>
          <w:b w:val="0"/>
          <w:bCs w:val="0"/>
          <w:kern w:val="0"/>
          <w:sz w:val="30"/>
          <w:szCs w:val="30"/>
          <w:lang w:val="en-US" w:eastAsia="zh-CN"/>
        </w:rPr>
        <w:t>11</w:t>
      </w:r>
      <w:r>
        <w:rPr>
          <w:rFonts w:hint="eastAsia" w:ascii="仿宋_GB2312" w:eastAsia="仿宋_GB2312" w:cs="宋体"/>
          <w:b w:val="0"/>
          <w:bCs w:val="0"/>
          <w:kern w:val="0"/>
          <w:sz w:val="30"/>
          <w:szCs w:val="30"/>
          <w:lang w:eastAsia="zh-CN"/>
        </w:rPr>
        <w:t>）有效推进深化“放管服”工作。2020年，共收集38个市直单位权责事项共计4101项，下一步，交由司法局进行合法性审查，并报市政府常务会议通过后进行公布。（</w:t>
      </w:r>
      <w:r>
        <w:rPr>
          <w:rFonts w:hint="eastAsia" w:ascii="仿宋_GB2312" w:eastAsia="仿宋_GB2312" w:cs="宋体"/>
          <w:b w:val="0"/>
          <w:bCs w:val="0"/>
          <w:kern w:val="0"/>
          <w:sz w:val="30"/>
          <w:szCs w:val="30"/>
          <w:lang w:val="en-US" w:eastAsia="zh-CN"/>
        </w:rPr>
        <w:t>12</w:t>
      </w:r>
      <w:r>
        <w:rPr>
          <w:rFonts w:hint="eastAsia" w:ascii="仿宋_GB2312" w:eastAsia="仿宋_GB2312" w:cs="宋体"/>
          <w:b w:val="0"/>
          <w:bCs w:val="0"/>
          <w:kern w:val="0"/>
          <w:sz w:val="30"/>
          <w:szCs w:val="30"/>
          <w:lang w:eastAsia="zh-CN"/>
        </w:rPr>
        <w:t>）强化职能做好机要人事工作。全面按时完成了文书档案的收集、归档、整理工作，档案利用及时有效。（</w:t>
      </w:r>
      <w:r>
        <w:rPr>
          <w:rFonts w:hint="eastAsia" w:ascii="仿宋_GB2312" w:eastAsia="仿宋_GB2312" w:cs="宋体"/>
          <w:b w:val="0"/>
          <w:bCs w:val="0"/>
          <w:kern w:val="0"/>
          <w:sz w:val="30"/>
          <w:szCs w:val="30"/>
          <w:lang w:val="en-US" w:eastAsia="zh-CN"/>
        </w:rPr>
        <w:t>13</w:t>
      </w:r>
      <w:r>
        <w:rPr>
          <w:rFonts w:hint="eastAsia" w:ascii="仿宋_GB2312" w:eastAsia="仿宋_GB2312" w:cs="宋体"/>
          <w:b w:val="0"/>
          <w:bCs w:val="0"/>
          <w:kern w:val="0"/>
          <w:sz w:val="30"/>
          <w:szCs w:val="30"/>
          <w:lang w:eastAsia="zh-CN"/>
        </w:rPr>
        <w:t>）保驾护航做好行政事务管理室工作。（</w:t>
      </w:r>
      <w:r>
        <w:rPr>
          <w:rFonts w:hint="eastAsia" w:ascii="仿宋_GB2312" w:eastAsia="仿宋_GB2312" w:cs="宋体"/>
          <w:b w:val="0"/>
          <w:bCs w:val="0"/>
          <w:kern w:val="0"/>
          <w:sz w:val="30"/>
          <w:szCs w:val="30"/>
          <w:lang w:val="en-US" w:eastAsia="zh-CN"/>
        </w:rPr>
        <w:t>14</w:t>
      </w:r>
      <w:r>
        <w:rPr>
          <w:rFonts w:hint="eastAsia" w:ascii="仿宋_GB2312" w:eastAsia="仿宋_GB2312" w:cs="宋体"/>
          <w:b w:val="0"/>
          <w:bCs w:val="0"/>
          <w:kern w:val="0"/>
          <w:sz w:val="30"/>
          <w:szCs w:val="30"/>
          <w:lang w:eastAsia="zh-CN"/>
        </w:rPr>
        <w:t>）出谋划策力推柑橘产业发展工作，积极推进国家地理标志产品——黔阳冰糖橙产品标准修订工作。</w:t>
      </w:r>
    </w:p>
    <w:p>
      <w:pPr>
        <w:pStyle w:val="2"/>
        <w:keepNext w:val="0"/>
        <w:keepLines w:val="0"/>
        <w:pageBreakBefore w:val="0"/>
        <w:kinsoku/>
        <w:wordWrap/>
        <w:overflowPunct/>
        <w:topLinePunct w:val="0"/>
        <w:bidi w:val="0"/>
        <w:adjustRightInd/>
        <w:snapToGrid/>
        <w:spacing w:before="0" w:after="0"/>
        <w:ind w:left="0" w:leftChars="0" w:right="0" w:rightChars="0" w:firstLine="0" w:firstLine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支出结构：本单位2020年总支出1240.71万元。按支出性质分类：基本支出1240.71万元，占本年支出100%。</w:t>
      </w:r>
    </w:p>
    <w:p>
      <w:pPr>
        <w:pStyle w:val="2"/>
        <w:keepNext w:val="0"/>
        <w:keepLines w:val="0"/>
        <w:pageBreakBefore w:val="0"/>
        <w:kinsoku/>
        <w:wordWrap/>
        <w:overflowPunct/>
        <w:topLinePunct w:val="0"/>
        <w:bidi w:val="0"/>
        <w:adjustRightInd/>
        <w:snapToGrid/>
        <w:spacing w:before="0" w:after="0"/>
        <w:ind w:right="0" w:rightChars="0" w:firstLine="0" w:firstLineChars="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按支出经济分类：工资福利支出835.33万元，占本年支出67.33%；商品和服务支出363.82万元，占本年支出29.32%；对个人和家庭的补助支出39.80万元，占本年支出3.21%；资本性支出1.76万元，占本年支出0.14%。</w:t>
      </w:r>
    </w:p>
    <w:p>
      <w:pPr>
        <w:pStyle w:val="3"/>
        <w:keepNext w:val="0"/>
        <w:keepLines w:val="0"/>
        <w:pageBreakBefore w:val="0"/>
        <w:kinsoku/>
        <w:wordWrap/>
        <w:overflowPunct/>
        <w:topLinePunct w:val="0"/>
        <w:bidi w:val="0"/>
        <w:adjustRightInd/>
        <w:snapToGrid/>
        <w:ind w:right="0" w:rightChars="0" w:firstLine="0" w:firstLineChars="0"/>
        <w:textAlignment w:val="auto"/>
        <w:rPr>
          <w:rFonts w:hint="eastAsia"/>
          <w:sz w:val="30"/>
          <w:szCs w:val="30"/>
          <w:lang w:val="en-US" w:eastAsia="zh-CN"/>
        </w:rPr>
      </w:pPr>
      <w:r>
        <w:rPr>
          <w:rFonts w:hint="eastAsia" w:ascii="仿宋_GB2312" w:hAnsi="仿宋_GB2312" w:eastAsia="仿宋_GB2312" w:cs="仿宋_GB2312"/>
          <w:sz w:val="30"/>
          <w:szCs w:val="30"/>
          <w:lang w:val="en-US" w:eastAsia="zh-CN"/>
        </w:rPr>
        <w:t xml:space="preserve">     机关运行经费支出365.57万元，比上年减少218.09万元，减少37.37%，主要原因是由于机构合并，人员减少，相关经费减少；根据要求，继续压减一般性支出经费。</w:t>
      </w:r>
    </w:p>
    <w:p>
      <w:pPr>
        <w:spacing w:line="580" w:lineRule="exact"/>
        <w:rPr>
          <w:rFonts w:hint="eastAsia" w:ascii="仿宋_GB2312" w:eastAsia="仿宋_GB2312" w:cs="宋体"/>
          <w:kern w:val="0"/>
          <w:sz w:val="28"/>
          <w:szCs w:val="28"/>
        </w:rPr>
      </w:pPr>
      <w:r>
        <w:rPr>
          <w:rFonts w:hint="eastAsia" w:ascii="仿宋_GB2312" w:eastAsia="仿宋_GB2312" w:cs="宋体"/>
          <w:b/>
          <w:bCs/>
          <w:kern w:val="0"/>
          <w:sz w:val="28"/>
          <w:szCs w:val="28"/>
          <w:lang w:val="en-US" w:eastAsia="zh-CN"/>
        </w:rPr>
        <w:t xml:space="preserve">   </w:t>
      </w:r>
      <w:r>
        <w:rPr>
          <w:rFonts w:hint="eastAsia" w:ascii="仿宋_GB2312" w:eastAsia="仿宋_GB2312" w:cs="宋体"/>
          <w:b/>
          <w:bCs/>
          <w:kern w:val="0"/>
          <w:sz w:val="28"/>
          <w:szCs w:val="28"/>
        </w:rPr>
        <w:t>（五）存在的主要问题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kern w:val="1"/>
          <w:sz w:val="30"/>
          <w:szCs w:val="30"/>
          <w:lang w:eastAsia="zh-CN"/>
        </w:rPr>
      </w:pPr>
      <w:r>
        <w:rPr>
          <w:rFonts w:hint="eastAsia" w:ascii="仿宋_GB2312" w:hAnsi="仿宋_GB2312" w:eastAsia="仿宋_GB2312" w:cs="仿宋_GB2312"/>
          <w:kern w:val="1"/>
          <w:sz w:val="30"/>
          <w:szCs w:val="30"/>
          <w:lang w:val="en-US" w:eastAsia="zh-CN"/>
        </w:rPr>
        <w:t xml:space="preserve">   </w:t>
      </w:r>
      <w:r>
        <w:rPr>
          <w:rFonts w:hint="eastAsia" w:ascii="仿宋_GB2312" w:hAnsi="仿宋_GB2312" w:eastAsia="仿宋_GB2312" w:cs="仿宋_GB2312"/>
          <w:kern w:val="1"/>
          <w:sz w:val="30"/>
          <w:szCs w:val="30"/>
        </w:rPr>
        <w:t>（</w:t>
      </w:r>
      <w:r>
        <w:rPr>
          <w:rFonts w:hint="eastAsia" w:ascii="仿宋_GB2312" w:hAnsi="仿宋_GB2312" w:eastAsia="仿宋_GB2312" w:cs="仿宋_GB2312"/>
          <w:kern w:val="1"/>
          <w:sz w:val="30"/>
          <w:szCs w:val="30"/>
          <w:lang w:val="en-US" w:eastAsia="zh-CN"/>
        </w:rPr>
        <w:t>1</w:t>
      </w:r>
      <w:r>
        <w:rPr>
          <w:rFonts w:hint="eastAsia" w:ascii="仿宋_GB2312" w:hAnsi="仿宋_GB2312" w:eastAsia="仿宋_GB2312" w:cs="仿宋_GB2312"/>
          <w:kern w:val="1"/>
          <w:sz w:val="30"/>
          <w:szCs w:val="30"/>
        </w:rPr>
        <w:t>）20</w:t>
      </w:r>
      <w:r>
        <w:rPr>
          <w:rFonts w:hint="eastAsia" w:ascii="仿宋_GB2312" w:hAnsi="仿宋_GB2312" w:eastAsia="仿宋_GB2312" w:cs="仿宋_GB2312"/>
          <w:kern w:val="1"/>
          <w:sz w:val="30"/>
          <w:szCs w:val="30"/>
          <w:lang w:val="en-US" w:eastAsia="zh-CN"/>
        </w:rPr>
        <w:t>20</w:t>
      </w:r>
      <w:r>
        <w:rPr>
          <w:rFonts w:hint="eastAsia" w:ascii="仿宋_GB2312" w:hAnsi="仿宋_GB2312" w:eastAsia="仿宋_GB2312" w:cs="仿宋_GB2312"/>
          <w:kern w:val="1"/>
          <w:sz w:val="30"/>
          <w:szCs w:val="30"/>
        </w:rPr>
        <w:t>年我办各项总支出</w:t>
      </w:r>
      <w:r>
        <w:rPr>
          <w:rFonts w:hint="eastAsia" w:ascii="仿宋_GB2312" w:hAnsi="仿宋_GB2312" w:eastAsia="仿宋_GB2312" w:cs="仿宋_GB2312"/>
          <w:bCs/>
          <w:color w:val="auto"/>
          <w:sz w:val="30"/>
          <w:szCs w:val="30"/>
          <w:lang w:val="en-US" w:eastAsia="zh-CN"/>
        </w:rPr>
        <w:t>1240.71</w:t>
      </w:r>
      <w:r>
        <w:rPr>
          <w:rFonts w:hint="eastAsia" w:ascii="仿宋_GB2312" w:hAnsi="仿宋_GB2312" w:eastAsia="仿宋_GB2312" w:cs="仿宋_GB2312"/>
          <w:kern w:val="1"/>
          <w:sz w:val="30"/>
          <w:szCs w:val="30"/>
        </w:rPr>
        <w:t>万元，比年初预算增加支出</w:t>
      </w:r>
      <w:r>
        <w:rPr>
          <w:rFonts w:hint="eastAsia" w:ascii="仿宋_GB2312" w:hAnsi="仿宋_GB2312" w:eastAsia="仿宋_GB2312" w:cs="仿宋_GB2312"/>
          <w:color w:val="auto"/>
          <w:sz w:val="30"/>
          <w:szCs w:val="30"/>
          <w:lang w:val="en-US" w:eastAsia="zh-CN"/>
        </w:rPr>
        <w:t>230.70</w:t>
      </w:r>
      <w:r>
        <w:rPr>
          <w:rFonts w:hint="eastAsia" w:ascii="仿宋_GB2312" w:hAnsi="仿宋_GB2312" w:eastAsia="仿宋_GB2312" w:cs="仿宋_GB2312"/>
          <w:kern w:val="1"/>
          <w:sz w:val="30"/>
          <w:szCs w:val="30"/>
        </w:rPr>
        <w:t>万元</w:t>
      </w:r>
      <w:r>
        <w:rPr>
          <w:rFonts w:hint="eastAsia" w:ascii="仿宋_GB2312" w:hAnsi="仿宋_GB2312" w:eastAsia="仿宋_GB2312" w:cs="仿宋_GB2312"/>
          <w:kern w:val="1"/>
          <w:sz w:val="30"/>
          <w:szCs w:val="30"/>
          <w:lang w:eastAsia="zh-CN"/>
        </w:rPr>
        <w:t>，其中：人员经费支出</w:t>
      </w:r>
      <w:r>
        <w:rPr>
          <w:rFonts w:hint="eastAsia" w:ascii="仿宋_GB2312" w:hAnsi="仿宋_GB2312" w:eastAsia="仿宋_GB2312" w:cs="仿宋_GB2312"/>
          <w:kern w:val="1"/>
          <w:sz w:val="30"/>
          <w:szCs w:val="30"/>
          <w:lang w:val="en-US" w:eastAsia="zh-CN"/>
        </w:rPr>
        <w:t>875.14</w:t>
      </w:r>
      <w:r>
        <w:rPr>
          <w:rFonts w:hint="eastAsia" w:ascii="仿宋_GB2312" w:hAnsi="仿宋_GB2312" w:eastAsia="仿宋_GB2312" w:cs="仿宋_GB2312"/>
          <w:kern w:val="1"/>
          <w:sz w:val="30"/>
          <w:szCs w:val="30"/>
          <w:lang w:eastAsia="zh-CN"/>
        </w:rPr>
        <w:t>万元，比年初预算增加</w:t>
      </w:r>
      <w:r>
        <w:rPr>
          <w:rFonts w:hint="eastAsia" w:ascii="仿宋_GB2312" w:hAnsi="仿宋_GB2312" w:eastAsia="仿宋_GB2312" w:cs="仿宋_GB2312"/>
          <w:kern w:val="1"/>
          <w:sz w:val="30"/>
          <w:szCs w:val="30"/>
          <w:lang w:val="en-US" w:eastAsia="zh-CN"/>
        </w:rPr>
        <w:t>179.33</w:t>
      </w:r>
      <w:r>
        <w:rPr>
          <w:rFonts w:hint="eastAsia" w:ascii="仿宋_GB2312" w:hAnsi="仿宋_GB2312" w:eastAsia="仿宋_GB2312" w:cs="仿宋_GB2312"/>
          <w:kern w:val="1"/>
          <w:sz w:val="30"/>
          <w:szCs w:val="30"/>
          <w:lang w:eastAsia="zh-CN"/>
        </w:rPr>
        <w:t>万元，主要是工资增加，</w:t>
      </w:r>
      <w:r>
        <w:rPr>
          <w:rFonts w:hint="eastAsia" w:ascii="仿宋_GB2312" w:hAnsi="仿宋_GB2312" w:eastAsia="仿宋_GB2312" w:cs="仿宋_GB2312"/>
          <w:kern w:val="1"/>
          <w:sz w:val="30"/>
          <w:szCs w:val="30"/>
          <w:lang w:val="en-US" w:eastAsia="zh-CN"/>
        </w:rPr>
        <w:t>年终绩效奖没有编入年初预算。</w:t>
      </w:r>
      <w:r>
        <w:rPr>
          <w:rFonts w:hint="eastAsia" w:ascii="仿宋_GB2312" w:hAnsi="仿宋_GB2312" w:eastAsia="仿宋_GB2312" w:cs="仿宋_GB2312"/>
          <w:kern w:val="1"/>
          <w:sz w:val="30"/>
          <w:szCs w:val="30"/>
          <w:lang w:eastAsia="zh-CN"/>
        </w:rPr>
        <w:t>日常公用经费支出共计</w:t>
      </w:r>
      <w:r>
        <w:rPr>
          <w:rFonts w:hint="eastAsia" w:ascii="仿宋_GB2312" w:hAnsi="仿宋_GB2312" w:eastAsia="仿宋_GB2312" w:cs="仿宋_GB2312"/>
          <w:kern w:val="1"/>
          <w:sz w:val="30"/>
          <w:szCs w:val="30"/>
          <w:lang w:val="en-US" w:eastAsia="zh-CN"/>
        </w:rPr>
        <w:t>365.57</w:t>
      </w:r>
      <w:r>
        <w:rPr>
          <w:rFonts w:hint="eastAsia" w:ascii="仿宋_GB2312" w:hAnsi="仿宋_GB2312" w:eastAsia="仿宋_GB2312" w:cs="仿宋_GB2312"/>
          <w:kern w:val="1"/>
          <w:sz w:val="30"/>
          <w:szCs w:val="30"/>
          <w:lang w:eastAsia="zh-CN"/>
        </w:rPr>
        <w:t>万元，比年初预算增加</w:t>
      </w:r>
      <w:r>
        <w:rPr>
          <w:rFonts w:hint="eastAsia" w:ascii="仿宋_GB2312" w:hAnsi="仿宋_GB2312" w:eastAsia="仿宋_GB2312" w:cs="仿宋_GB2312"/>
          <w:kern w:val="1"/>
          <w:sz w:val="30"/>
          <w:szCs w:val="30"/>
          <w:lang w:val="en-US" w:eastAsia="zh-CN"/>
        </w:rPr>
        <w:t>51.37</w:t>
      </w:r>
      <w:r>
        <w:rPr>
          <w:rFonts w:hint="eastAsia" w:ascii="仿宋_GB2312" w:hAnsi="仿宋_GB2312" w:eastAsia="仿宋_GB2312" w:cs="仿宋_GB2312"/>
          <w:kern w:val="1"/>
          <w:sz w:val="30"/>
          <w:szCs w:val="30"/>
          <w:lang w:eastAsia="zh-CN"/>
        </w:rPr>
        <w:t>万元，主要是工作需要追加经费。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b w:val="0"/>
          <w:bCs w:val="0"/>
          <w:kern w:val="0"/>
          <w:sz w:val="30"/>
          <w:szCs w:val="30"/>
        </w:rPr>
      </w:pPr>
      <w:r>
        <w:rPr>
          <w:rFonts w:hint="eastAsia" w:ascii="仿宋_GB2312" w:hAnsi="仿宋_GB2312" w:eastAsia="仿宋_GB2312" w:cs="仿宋_GB2312"/>
          <w:kern w:val="1"/>
          <w:sz w:val="30"/>
          <w:szCs w:val="30"/>
          <w:lang w:val="en-US" w:eastAsia="zh-CN"/>
        </w:rPr>
        <w:t xml:space="preserve">   </w:t>
      </w:r>
      <w:r>
        <w:rPr>
          <w:rFonts w:hint="eastAsia" w:ascii="仿宋_GB2312" w:hAnsi="仿宋_GB2312" w:eastAsia="仿宋_GB2312" w:cs="仿宋_GB2312"/>
          <w:kern w:val="1"/>
          <w:sz w:val="30"/>
          <w:szCs w:val="30"/>
        </w:rPr>
        <w:t>（</w:t>
      </w:r>
      <w:r>
        <w:rPr>
          <w:rFonts w:hint="eastAsia" w:ascii="仿宋_GB2312" w:hAnsi="仿宋_GB2312" w:eastAsia="仿宋_GB2312" w:cs="仿宋_GB2312"/>
          <w:kern w:val="1"/>
          <w:sz w:val="30"/>
          <w:szCs w:val="30"/>
          <w:lang w:val="en-US" w:eastAsia="zh-CN"/>
        </w:rPr>
        <w:t>2</w:t>
      </w:r>
      <w:r>
        <w:rPr>
          <w:rFonts w:hint="eastAsia" w:ascii="仿宋_GB2312" w:hAnsi="仿宋_GB2312" w:eastAsia="仿宋_GB2312" w:cs="仿宋_GB2312"/>
          <w:kern w:val="1"/>
          <w:sz w:val="30"/>
          <w:szCs w:val="30"/>
        </w:rPr>
        <w:t>）差异原因分析</w:t>
      </w:r>
      <w:r>
        <w:rPr>
          <w:rFonts w:hint="eastAsia" w:ascii="仿宋_GB2312" w:hAnsi="仿宋_GB2312" w:eastAsia="仿宋_GB2312" w:cs="仿宋_GB2312"/>
          <w:kern w:val="1"/>
          <w:sz w:val="30"/>
          <w:szCs w:val="30"/>
          <w:lang w:eastAsia="zh-CN"/>
        </w:rPr>
        <w:t>：造成年终经费支出比预算数增加</w:t>
      </w:r>
      <w:r>
        <w:rPr>
          <w:rFonts w:hint="eastAsia" w:ascii="仿宋_GB2312" w:hAnsi="仿宋_GB2312" w:eastAsia="仿宋_GB2312" w:cs="仿宋_GB2312"/>
          <w:kern w:val="1"/>
          <w:sz w:val="30"/>
          <w:szCs w:val="30"/>
          <w:lang w:val="en-US" w:eastAsia="zh-CN"/>
        </w:rPr>
        <w:t>230.70</w:t>
      </w:r>
      <w:r>
        <w:rPr>
          <w:rFonts w:hint="eastAsia" w:ascii="仿宋_GB2312" w:hAnsi="仿宋_GB2312" w:eastAsia="仿宋_GB2312" w:cs="仿宋_GB2312"/>
          <w:kern w:val="1"/>
          <w:sz w:val="30"/>
          <w:szCs w:val="30"/>
          <w:lang w:eastAsia="zh-CN"/>
        </w:rPr>
        <w:t>万元的主要原因是，</w:t>
      </w:r>
      <w:r>
        <w:rPr>
          <w:rFonts w:hint="eastAsia" w:ascii="仿宋_GB2312" w:hAnsi="仿宋_GB2312" w:eastAsia="仿宋_GB2312" w:cs="仿宋_GB2312"/>
          <w:kern w:val="1"/>
          <w:sz w:val="30"/>
          <w:szCs w:val="30"/>
          <w:lang w:val="en-US" w:eastAsia="zh-CN"/>
        </w:rPr>
        <w:t>工资增加，年终绩效奖没有编入年初预算和</w:t>
      </w:r>
      <w:r>
        <w:rPr>
          <w:rFonts w:hint="eastAsia" w:ascii="仿宋_GB2312" w:hAnsi="仿宋_GB2312" w:eastAsia="仿宋_GB2312" w:cs="仿宋_GB2312"/>
          <w:kern w:val="1"/>
          <w:sz w:val="30"/>
          <w:szCs w:val="30"/>
          <w:lang w:eastAsia="zh-CN"/>
        </w:rPr>
        <w:t>工作需要追加经费。</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（六）改进措施和有关建议</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val="0"/>
          <w:bCs w:val="0"/>
          <w:kern w:val="0"/>
          <w:sz w:val="30"/>
          <w:szCs w:val="30"/>
        </w:rPr>
      </w:pPr>
      <w:r>
        <w:rPr>
          <w:rFonts w:hint="eastAsia" w:ascii="仿宋_GB2312" w:hAnsi="仿宋_GB2312" w:eastAsia="仿宋_GB2312" w:cs="仿宋_GB2312"/>
          <w:b w:val="0"/>
          <w:bCs w:val="0"/>
          <w:kern w:val="0"/>
          <w:sz w:val="30"/>
          <w:szCs w:val="30"/>
          <w:lang w:val="en-US" w:eastAsia="zh-CN"/>
        </w:rPr>
        <w:t xml:space="preserve">    </w:t>
      </w:r>
      <w:r>
        <w:rPr>
          <w:rFonts w:hint="eastAsia" w:ascii="仿宋_GB2312" w:hAnsi="仿宋_GB2312" w:eastAsia="仿宋_GB2312" w:cs="仿宋_GB2312"/>
          <w:b w:val="0"/>
          <w:bCs w:val="0"/>
          <w:kern w:val="0"/>
          <w:sz w:val="30"/>
          <w:szCs w:val="30"/>
        </w:rPr>
        <w:t>1、为加强绩效管理，建议将人员经费、业务工作经费足额纳入预算。</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val="0"/>
          <w:bCs w:val="0"/>
          <w:kern w:val="0"/>
          <w:sz w:val="30"/>
          <w:szCs w:val="30"/>
        </w:rPr>
      </w:pPr>
      <w:r>
        <w:rPr>
          <w:rFonts w:hint="eastAsia" w:ascii="仿宋_GB2312" w:hAnsi="仿宋_GB2312" w:eastAsia="仿宋_GB2312" w:cs="仿宋_GB2312"/>
          <w:b w:val="0"/>
          <w:bCs w:val="0"/>
          <w:kern w:val="0"/>
          <w:sz w:val="30"/>
          <w:szCs w:val="30"/>
          <w:lang w:val="en-US" w:eastAsia="zh-CN"/>
        </w:rPr>
        <w:t xml:space="preserve">    </w:t>
      </w:r>
      <w:r>
        <w:rPr>
          <w:rFonts w:hint="eastAsia" w:ascii="仿宋_GB2312" w:hAnsi="仿宋_GB2312" w:eastAsia="仿宋_GB2312" w:cs="仿宋_GB2312"/>
          <w:b w:val="0"/>
          <w:bCs w:val="0"/>
          <w:kern w:val="0"/>
          <w:sz w:val="30"/>
          <w:szCs w:val="30"/>
        </w:rPr>
        <w:t>2、细化预算编制工作，认真做好预算的编制。进一步加强内部机构的预算管理意识，严格按照预算编制的相关制度和要求，本着“勤俭节约、保障运转”的原则进行预算的编制；编制范围尽可能的全面、不漏项，进一步提高预算编制的科学性、合理性、严谨性和可控性。</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val="0"/>
          <w:bCs w:val="0"/>
          <w:kern w:val="0"/>
          <w:sz w:val="30"/>
          <w:szCs w:val="30"/>
        </w:rPr>
      </w:pPr>
      <w:r>
        <w:rPr>
          <w:rFonts w:hint="eastAsia" w:ascii="仿宋_GB2312" w:hAnsi="仿宋_GB2312" w:eastAsia="仿宋_GB2312" w:cs="仿宋_GB2312"/>
          <w:b w:val="0"/>
          <w:bCs w:val="0"/>
          <w:kern w:val="0"/>
          <w:sz w:val="30"/>
          <w:szCs w:val="30"/>
          <w:lang w:val="en-US" w:eastAsia="zh-CN"/>
        </w:rPr>
        <w:t xml:space="preserve">    </w:t>
      </w:r>
      <w:r>
        <w:rPr>
          <w:rFonts w:hint="eastAsia" w:ascii="仿宋_GB2312" w:hAnsi="仿宋_GB2312" w:eastAsia="仿宋_GB2312" w:cs="仿宋_GB2312"/>
          <w:b w:val="0"/>
          <w:bCs w:val="0"/>
          <w:kern w:val="0"/>
          <w:sz w:val="30"/>
          <w:szCs w:val="30"/>
        </w:rPr>
        <w:t>3、在日常预算管理过程中，进一步加强预算支出的审核、跟踪及预算执行情况分析。</w:t>
      </w:r>
    </w:p>
    <w:p>
      <w:pPr>
        <w:widowControl/>
        <w:ind w:firstLine="560" w:firstLineChars="200"/>
        <w:rPr>
          <w:rFonts w:hint="eastAsia" w:ascii="仿宋_GB2312" w:eastAsia="仿宋_GB2312" w:cs="宋体"/>
          <w:kern w:val="0"/>
          <w:sz w:val="28"/>
          <w:szCs w:val="28"/>
        </w:rPr>
      </w:pPr>
    </w:p>
    <w:p>
      <w:pPr>
        <w:widowControl/>
        <w:rPr>
          <w:rFonts w:hint="eastAsia" w:ascii="仿宋_GB2312" w:eastAsia="仿宋_GB2312" w:cs="宋体"/>
          <w:kern w:val="0"/>
          <w:sz w:val="28"/>
          <w:szCs w:val="28"/>
        </w:rPr>
      </w:pPr>
    </w:p>
    <w:p>
      <w:pPr>
        <w:widowControl/>
        <w:rPr>
          <w:rFonts w:hint="eastAsia" w:ascii="仿宋_GB2312" w:eastAsia="仿宋_GB2312" w:cs="宋体"/>
          <w:kern w:val="0"/>
          <w:sz w:val="28"/>
          <w:szCs w:val="28"/>
        </w:rPr>
      </w:pPr>
    </w:p>
    <w:p>
      <w:pPr>
        <w:widowControl/>
        <w:rPr>
          <w:rFonts w:hint="eastAsia" w:ascii="仿宋_GB2312" w:eastAsia="仿宋_GB2312" w:cs="宋体"/>
          <w:kern w:val="0"/>
          <w:sz w:val="28"/>
          <w:szCs w:val="28"/>
        </w:rPr>
      </w:pPr>
    </w:p>
    <w:p>
      <w:pPr>
        <w:widowControl/>
        <w:rPr>
          <w:rFonts w:hint="eastAsia" w:ascii="仿宋_GB2312" w:eastAsia="仿宋_GB2312" w:cs="宋体"/>
          <w:kern w:val="0"/>
          <w:sz w:val="28"/>
          <w:szCs w:val="28"/>
        </w:rPr>
      </w:pPr>
      <w:r>
        <w:rPr>
          <w:rFonts w:hint="eastAsia" w:ascii="仿宋_GB2312" w:eastAsia="仿宋_GB2312" w:cs="宋体"/>
          <w:kern w:val="0"/>
          <w:sz w:val="28"/>
          <w:szCs w:val="28"/>
        </w:rPr>
        <w:t>附件3</w:t>
      </w:r>
    </w:p>
    <w:tbl>
      <w:tblPr>
        <w:tblStyle w:val="9"/>
        <w:tblW w:w="0" w:type="auto"/>
        <w:tblInd w:w="-449" w:type="dxa"/>
        <w:tblLayout w:type="fixed"/>
        <w:tblCellMar>
          <w:top w:w="0" w:type="dxa"/>
          <w:left w:w="108" w:type="dxa"/>
          <w:bottom w:w="0" w:type="dxa"/>
          <w:right w:w="108" w:type="dxa"/>
        </w:tblCellMar>
      </w:tblPr>
      <w:tblGrid>
        <w:gridCol w:w="672"/>
        <w:gridCol w:w="625"/>
        <w:gridCol w:w="684"/>
        <w:gridCol w:w="491"/>
        <w:gridCol w:w="4116"/>
        <w:gridCol w:w="2976"/>
        <w:gridCol w:w="660"/>
      </w:tblGrid>
      <w:tr>
        <w:tblPrEx>
          <w:tblCellMar>
            <w:top w:w="0" w:type="dxa"/>
            <w:left w:w="108" w:type="dxa"/>
            <w:bottom w:w="0" w:type="dxa"/>
            <w:right w:w="108" w:type="dxa"/>
          </w:tblCellMar>
        </w:tblPrEx>
        <w:trPr>
          <w:trHeight w:val="582" w:hRule="atLeast"/>
        </w:trPr>
        <w:tc>
          <w:tcPr>
            <w:tcW w:w="10224" w:type="dxa"/>
            <w:gridSpan w:val="7"/>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6"/>
                <w:szCs w:val="36"/>
                <w:u w:val="none"/>
                <w:lang w:val="en-US" w:eastAsia="zh-CN" w:bidi="ar"/>
              </w:rPr>
              <w:t>2020年度部门（单位）整体支出绩效评价评分表</w:t>
            </w:r>
          </w:p>
        </w:tc>
      </w:tr>
      <w:tr>
        <w:tblPrEx>
          <w:tblCellMar>
            <w:top w:w="0" w:type="dxa"/>
            <w:left w:w="108" w:type="dxa"/>
            <w:bottom w:w="0" w:type="dxa"/>
            <w:right w:w="108" w:type="dxa"/>
          </w:tblCellMar>
        </w:tblPrEx>
        <w:trPr>
          <w:trHeight w:val="642" w:hRule="atLeast"/>
        </w:trPr>
        <w:tc>
          <w:tcPr>
            <w:tcW w:w="6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指标</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指标</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分值</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指标解释/绩效目标内容</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评分标准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自评得分</w:t>
            </w:r>
          </w:p>
        </w:tc>
      </w:tr>
      <w:tr>
        <w:tblPrEx>
          <w:tblCellMar>
            <w:top w:w="0" w:type="dxa"/>
            <w:left w:w="108" w:type="dxa"/>
            <w:bottom w:w="0" w:type="dxa"/>
            <w:right w:w="108" w:type="dxa"/>
          </w:tblCellMar>
        </w:tblPrEx>
        <w:trPr>
          <w:trHeight w:val="1490" w:hRule="atLeast"/>
        </w:trPr>
        <w:tc>
          <w:tcPr>
            <w:tcW w:w="672"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   入</w:t>
            </w:r>
          </w:p>
        </w:tc>
        <w:tc>
          <w:tcPr>
            <w:tcW w:w="62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设定    （5分）</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绩效目标合理性</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部门（单位）所设立的整体绩效目标依据是否充分，是否符合客观实际，用以反映和考核部门（单位）整体绩效目标与部门履职、年度工作任务的相符性情况。</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①符合国家法律法规、国民经济和社会发展总体规划的计1分；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②符合部门“三定”方案确定的职责的计1分；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③符合部门制定的中长期实施规划的计1分。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3</w:t>
            </w:r>
          </w:p>
        </w:tc>
      </w:tr>
      <w:tr>
        <w:tblPrEx>
          <w:tblCellMar>
            <w:top w:w="0" w:type="dxa"/>
            <w:left w:w="108" w:type="dxa"/>
            <w:bottom w:w="0" w:type="dxa"/>
            <w:right w:w="108" w:type="dxa"/>
          </w:tblCellMar>
        </w:tblPrEx>
        <w:trPr>
          <w:trHeight w:val="1862"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绩效指标明确性</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部门（单位）依据整体绩效目标所设定的绩效指标是否清晰、细化、可衡量，用以反映和考核部门（单位）整体绩效目标的明细化情况。</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①将部门整体的绩效目标细化分解为具体的工作任务的，计0.5分；②通过清晰、可衡量的指标值予以体现的，计0.5分；③与部门年度的任务数或计划数相对应的，计0.5分；④与本年度部门预算资金相匹配的，计0.5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2</w:t>
            </w:r>
          </w:p>
        </w:tc>
      </w:tr>
      <w:tr>
        <w:tblPrEx>
          <w:tblCellMar>
            <w:top w:w="0" w:type="dxa"/>
            <w:left w:w="108" w:type="dxa"/>
            <w:bottom w:w="0" w:type="dxa"/>
            <w:right w:w="108" w:type="dxa"/>
          </w:tblCellMar>
        </w:tblPrEx>
        <w:trPr>
          <w:trHeight w:val="1934"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配置   （10分）</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在职人员控制率</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部门（单位）本年度实际在职人员数与编制数的比率，用以反映和考核部门（单位）对人员成本的控制程度。在职人员控制率=（在职人员数/编制数）×100%。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在职人员数：部门（单位）实际在职人数，以财政部确定的部门决算编制口径为准。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编制数：机构编制部门核定批复的部门（单位）的人员编制数。</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目标值≤100%； 达到目标值计2分，每超出1人扣0.1分，扣完为止。</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2</w:t>
            </w:r>
          </w:p>
        </w:tc>
      </w:tr>
      <w:tr>
        <w:tblPrEx>
          <w:tblCellMar>
            <w:top w:w="0" w:type="dxa"/>
            <w:left w:w="108" w:type="dxa"/>
            <w:bottom w:w="0" w:type="dxa"/>
            <w:right w:w="108" w:type="dxa"/>
          </w:tblCellMar>
        </w:tblPrEx>
        <w:trPr>
          <w:trHeight w:val="1978"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“三公经费”变动率</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本年度“三公经费”预算数与上年度“三公经费”预算数的变动比率，用以反映和考核部门（单位）对控制重点行政成本的努力程度。“三公经费”变动率=[（本年度“三公经费”总额-上年度“三公经费”总额）/上年度“三公经费”总额]×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“三公经费”：年度预算安排的因公出国（境）费、公务车辆购置及运行费和公务招待费。</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目标值≤0； 达到目标值计3分，否则计0分。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3</w:t>
            </w:r>
          </w:p>
        </w:tc>
      </w:tr>
      <w:tr>
        <w:tblPrEx>
          <w:tblCellMar>
            <w:top w:w="0" w:type="dxa"/>
            <w:left w:w="108" w:type="dxa"/>
            <w:bottom w:w="0" w:type="dxa"/>
            <w:right w:w="108" w:type="dxa"/>
          </w:tblCellMar>
        </w:tblPrEx>
        <w:trPr>
          <w:trHeight w:val="2449"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重点支出安排率</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部门（单位）本年度预算安排的重点项目支出与部门项目总支出的比率，用以反映和考核部门（单位）对履行主要职责或完成重点任务的保障程度。重点支出安排率=（重点项目支出/项目总支出）×100%。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重点项目支出：部门（单位）年度预算安排的，与本部门履职和发展密切相关、具有明显社会和经济影响、党委政府关心或社会比较关注的项目支出总额。</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项目总支出：部门（单位）年度预算安排的项目支出总额。</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重点支出安排率≧90%，计5分；80%（含）-90%，计4分；70%（含）-80%，计3分；60%（含）-70%，计2分，低于60%的计0分。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4</w:t>
            </w:r>
          </w:p>
        </w:tc>
      </w:tr>
      <w:tr>
        <w:tblPrEx>
          <w:tblCellMar>
            <w:top w:w="0" w:type="dxa"/>
            <w:left w:w="108" w:type="dxa"/>
            <w:bottom w:w="0" w:type="dxa"/>
            <w:right w:w="108" w:type="dxa"/>
          </w:tblCellMar>
        </w:tblPrEx>
        <w:trPr>
          <w:trHeight w:val="1703" w:hRule="atLeast"/>
        </w:trPr>
        <w:tc>
          <w:tcPr>
            <w:tcW w:w="672" w:type="dxa"/>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   程</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   （20分）</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预算完成率</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部门（单位）本年度预算完成数与预算数的比率，用以反映和考核部门（单位）预算完成程度。预算完成率=（预算完成数/预算数）×100%。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预算完成数：部门（单位）本年度实际完成的预算数。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预算数：财政部门批复的本年度部门（单位）预算数。</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目标值＝100%； 达到目标值计3分；100%＞结果≥90%，计2.5分；90%＞结果≥80%，计2分；80%＞结果≥70%，计1.5分； 结果＜70%计0分。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3</w:t>
            </w:r>
          </w:p>
        </w:tc>
      </w:tr>
      <w:tr>
        <w:tblPrEx>
          <w:tblCellMar>
            <w:top w:w="0" w:type="dxa"/>
            <w:left w:w="108" w:type="dxa"/>
            <w:bottom w:w="0" w:type="dxa"/>
            <w:right w:w="108" w:type="dxa"/>
          </w:tblCellMar>
        </w:tblPrEx>
        <w:trPr>
          <w:trHeight w:val="457" w:hRule="atLeast"/>
        </w:trPr>
        <w:tc>
          <w:tcPr>
            <w:tcW w:w="6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一级</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指标</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二级</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指标</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三级指标</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分值</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指标解释/绩效目标内容</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评分标准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18"/>
                <w:szCs w:val="18"/>
                <w:u w:val="none"/>
                <w:lang w:val="en-US" w:eastAsia="zh-CN" w:bidi="ar-SA"/>
              </w:rPr>
            </w:pPr>
          </w:p>
        </w:tc>
      </w:tr>
      <w:tr>
        <w:tblPrEx>
          <w:tblCellMar>
            <w:top w:w="0" w:type="dxa"/>
            <w:left w:w="108" w:type="dxa"/>
            <w:bottom w:w="0" w:type="dxa"/>
            <w:right w:w="108" w:type="dxa"/>
          </w:tblCellMar>
        </w:tblPrEx>
        <w:trPr>
          <w:trHeight w:val="1739" w:hRule="atLeast"/>
        </w:trPr>
        <w:tc>
          <w:tcPr>
            <w:tcW w:w="672"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过程</w:t>
            </w:r>
          </w:p>
        </w:tc>
        <w:tc>
          <w:tcPr>
            <w:tcW w:w="62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预算执行（20分）</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预算调整率</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部门（单位）本年度预算调整数与预算数的比率，用以反映和考核部门（单位）预算的调整程度。预算调整率=（预算调整数/预算数）×100%。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预算调整数：部门（单位）在本年度内涉及预算的追加、追减或结构调整的资金总和（因落实国家政策、发生不可抗力、上级部门或本级党委政府临时交办而产生的调整除外）。</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预算调整率=0,计3分；0-10%（含），计2.5分；10%-20%（含），计2分；20%-30%（含），计1.5分；大于30%，计0分。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1.5</w:t>
            </w:r>
          </w:p>
        </w:tc>
      </w:tr>
      <w:tr>
        <w:tblPrEx>
          <w:tblCellMar>
            <w:top w:w="0" w:type="dxa"/>
            <w:left w:w="108" w:type="dxa"/>
            <w:bottom w:w="0" w:type="dxa"/>
            <w:right w:w="108" w:type="dxa"/>
          </w:tblCellMar>
        </w:tblPrEx>
        <w:trPr>
          <w:trHeight w:val="854"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支付进度率</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部门（单位）项目实际支付进度与序时支付进度的比率，用以反映和考核部门（单位）预算执行的及时性和均衡性程度（不考核基本运行支出）。</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每发生一个项目未达到支付进度率的，扣1分，扣完为止。</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5</w:t>
            </w:r>
          </w:p>
        </w:tc>
      </w:tr>
      <w:tr>
        <w:tblPrEx>
          <w:tblCellMar>
            <w:top w:w="0" w:type="dxa"/>
            <w:left w:w="108" w:type="dxa"/>
            <w:bottom w:w="0" w:type="dxa"/>
            <w:right w:w="108" w:type="dxa"/>
          </w:tblCellMar>
        </w:tblPrEx>
        <w:trPr>
          <w:trHeight w:val="1504"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结转结余率</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部门（单位）本年度结转结余总额与支出预算数的比率，用以反映和考核部门（单位）对本年度结转结余资金的实际控制程度。结转结余率=结转结余总额/支出预算数×100%。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结转结余总额：部门（单位）本年度的结转资金与结余资金之和（以决算数为准）。</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目标值＝0%；达到目标值计</w:t>
            </w:r>
            <w:r>
              <w:rPr>
                <w:rFonts w:hint="eastAsia" w:ascii="宋体" w:hAnsi="宋体" w:cs="宋体"/>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分，未达到目标值的每增加0.1个百分点扣0.1分，扣完为止。</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color w:val="333333"/>
                <w:kern w:val="0"/>
                <w:sz w:val="30"/>
                <w:szCs w:val="30"/>
                <w:u w:val="none"/>
                <w:lang w:val="en-US" w:eastAsia="zh-CN" w:bidi="ar"/>
              </w:rPr>
              <w:t>3</w:t>
            </w:r>
          </w:p>
        </w:tc>
      </w:tr>
      <w:tr>
        <w:tblPrEx>
          <w:tblCellMar>
            <w:top w:w="0" w:type="dxa"/>
            <w:left w:w="108" w:type="dxa"/>
            <w:bottom w:w="0" w:type="dxa"/>
            <w:right w:w="108" w:type="dxa"/>
          </w:tblCellMar>
        </w:tblPrEx>
        <w:trPr>
          <w:trHeight w:val="1329"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本年度“三公经费”实际支出数与预算安排数的比率，用以反映和考核部门（单位）对“三公经费”的实际控制程度。“三公经费”控制率=（“三公经费”实际支出数/“三公经费”预算安排数）×100%。</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“三公经费”控制率≤100%，计3分；超过100%的，计0分。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3</w:t>
            </w:r>
          </w:p>
        </w:tc>
      </w:tr>
      <w:tr>
        <w:tblPrEx>
          <w:tblCellMar>
            <w:top w:w="0" w:type="dxa"/>
            <w:left w:w="108" w:type="dxa"/>
            <w:bottom w:w="0" w:type="dxa"/>
            <w:right w:w="108" w:type="dxa"/>
          </w:tblCellMar>
        </w:tblPrEx>
        <w:trPr>
          <w:trHeight w:val="1806"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政府采购执行率</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部门（单位）本年度实际政府采购金额与年初政府采购预算的比率，用以反映和考核部门（单位）政府采购预算执行情况。政府采购执行率=（实际政府采购金额/政府采购预算数）×100%；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政府采购预算：采购机关根据事业发展计划和行政任务编制的、并经过规定程序批准的年度政府采购计划。</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目标值＝100%；达到目标值计3分，未达到目标值的每欠一个百分点扣0.1分，扣完为止。</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3</w:t>
            </w:r>
          </w:p>
        </w:tc>
      </w:tr>
      <w:tr>
        <w:tblPrEx>
          <w:tblCellMar>
            <w:top w:w="0" w:type="dxa"/>
            <w:left w:w="108" w:type="dxa"/>
            <w:bottom w:w="0" w:type="dxa"/>
            <w:right w:w="108" w:type="dxa"/>
          </w:tblCellMar>
        </w:tblPrEx>
        <w:trPr>
          <w:trHeight w:val="1569"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管理    （15分）</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管理制度健全性</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部门（单位）为加强预算管理、规范财务行为而制定的管理制度是否健全完整，用以反映和考核部门（单位）预算管理制度对完成主要职责或促进事业发展的保障情况。</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①已制定或具有预算资金管理办法、内部财务管理制度、会计核算制度等管理制度的，计2分；②相关管理制度合法、合规、完整的，计2分；③相关管理制度得到有效执行的，计2分。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5</w:t>
            </w:r>
          </w:p>
        </w:tc>
      </w:tr>
      <w:tr>
        <w:tblPrEx>
          <w:tblCellMar>
            <w:top w:w="0" w:type="dxa"/>
            <w:left w:w="108" w:type="dxa"/>
            <w:bottom w:w="0" w:type="dxa"/>
            <w:right w:w="108" w:type="dxa"/>
          </w:tblCellMar>
        </w:tblPrEx>
        <w:trPr>
          <w:trHeight w:val="2180"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资金使用合规性</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部门（单位）使用预算资金是否符合相关的预算财务管理制度的规定，用以反映和考核部门（单位）预算资金的规范运行情况。</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①符合国家财经法规和财务管理制度规定以及有关专项资金管理办法的规定的，计1分；②资金的拨付有完整的审批程序和手续的，计1分；③项目的重大开支经过评估论证的，计1分；④符合部门预算批复的用途的，计1分；⑤未发生截留、挤占、挪用、虚列支出等情况的，计1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color w:val="000000"/>
                <w:kern w:val="0"/>
                <w:sz w:val="24"/>
                <w:szCs w:val="24"/>
                <w:u w:val="none"/>
                <w:lang w:val="en-US" w:eastAsia="zh-CN" w:bidi="ar"/>
              </w:rPr>
              <w:t>5</w:t>
            </w:r>
          </w:p>
        </w:tc>
      </w:tr>
      <w:tr>
        <w:tblPrEx>
          <w:tblCellMar>
            <w:top w:w="0" w:type="dxa"/>
            <w:left w:w="108" w:type="dxa"/>
            <w:bottom w:w="0" w:type="dxa"/>
            <w:right w:w="108" w:type="dxa"/>
          </w:tblCellMar>
        </w:tblPrEx>
        <w:trPr>
          <w:trHeight w:val="1262"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预决算信息公开性</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部门（单位）是否按照政府信息公开有关规定公开相关预决算信息，用以反映和考核部门（单位）预决算管理的公开透明情况。预决算信息是指与部门预算、执行、决算、监督、绩效等管理相关的信息。</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①按规定内容公开预决算信息的，计1分；②按规定时限公开预决算信息的，计1分。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2</w:t>
            </w:r>
          </w:p>
        </w:tc>
      </w:tr>
      <w:tr>
        <w:tblPrEx>
          <w:tblCellMar>
            <w:top w:w="0" w:type="dxa"/>
            <w:left w:w="108" w:type="dxa"/>
            <w:bottom w:w="0" w:type="dxa"/>
            <w:right w:w="108" w:type="dxa"/>
          </w:tblCellMar>
        </w:tblPrEx>
        <w:trPr>
          <w:trHeight w:val="620" w:hRule="atLeast"/>
        </w:trPr>
        <w:tc>
          <w:tcPr>
            <w:tcW w:w="6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一级</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指标</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二级</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指标</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三级指标</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分值</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指标解释/绩效目标内容</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评分标准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18"/>
                <w:szCs w:val="18"/>
                <w:u w:val="none"/>
                <w:lang w:val="en-US" w:eastAsia="zh-CN" w:bidi="ar-SA"/>
              </w:rPr>
            </w:pPr>
          </w:p>
        </w:tc>
      </w:tr>
      <w:tr>
        <w:tblPrEx>
          <w:tblCellMar>
            <w:top w:w="0" w:type="dxa"/>
            <w:left w:w="108" w:type="dxa"/>
            <w:bottom w:w="0" w:type="dxa"/>
            <w:right w:w="108" w:type="dxa"/>
          </w:tblCellMar>
        </w:tblPrEx>
        <w:trPr>
          <w:trHeight w:val="878" w:hRule="atLeast"/>
        </w:trPr>
        <w:tc>
          <w:tcPr>
            <w:tcW w:w="672"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过程</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管理    （15分）</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基础信息完善性</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部门（单位）基础信息是否完善，用以反映和考核基础信息对预算管理工作的支撑情况。</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每发生一笔违反基础数据信息和会计信息资料真实性、完整性和准确性的业务，扣0.5分，扣完为止。</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color w:val="000000"/>
                <w:kern w:val="0"/>
                <w:sz w:val="24"/>
                <w:szCs w:val="24"/>
                <w:u w:val="none"/>
                <w:lang w:val="en-US" w:eastAsia="zh-CN" w:bidi="ar"/>
              </w:rPr>
              <w:t>2</w:t>
            </w:r>
          </w:p>
        </w:tc>
      </w:tr>
      <w:tr>
        <w:tblPrEx>
          <w:tblCellMar>
            <w:top w:w="0" w:type="dxa"/>
            <w:left w:w="108" w:type="dxa"/>
            <w:bottom w:w="0" w:type="dxa"/>
            <w:right w:w="108" w:type="dxa"/>
          </w:tblCellMar>
        </w:tblPrEx>
        <w:trPr>
          <w:trHeight w:val="1220"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管理   （10分）</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管理制度健全性</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部门（单位）为加强资产管理、规范资产管理行为而制定的管理制度是否健全完整，用以反映和考核部门（单位）资产管理制度对完成主要职责或促进社会发展的保障情况。</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①已制定或具有资产管理制度的，计1分；②相关资产管理制度合法、合规、完整的，计1分；③相关资产管理制度得到有效执行的，计1分。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2</w:t>
            </w:r>
          </w:p>
        </w:tc>
      </w:tr>
      <w:tr>
        <w:tblPrEx>
          <w:tblCellMar>
            <w:top w:w="0" w:type="dxa"/>
            <w:left w:w="108" w:type="dxa"/>
            <w:bottom w:w="0" w:type="dxa"/>
            <w:right w:w="108" w:type="dxa"/>
          </w:tblCellMar>
        </w:tblPrEx>
        <w:trPr>
          <w:trHeight w:val="1424"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资产管理安全性</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部门（单位）的资产是否保存完整、使用合规、配置合理、处置规范、收入及时足额上缴，用以反映和考核部门（单位）资产安全运行情况。</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每出现一例不符合以下要求的扣1分，扣完为止：①资产保存完整；②资产配置合理；③资产处置规范；④资产账务管理合规、帐实相符；⑤资产有偿使用及处置收入及时足额上缴。</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r>
      <w:tr>
        <w:tblPrEx>
          <w:tblCellMar>
            <w:top w:w="0" w:type="dxa"/>
            <w:left w:w="108" w:type="dxa"/>
            <w:bottom w:w="0" w:type="dxa"/>
            <w:right w:w="108" w:type="dxa"/>
          </w:tblCellMar>
        </w:tblPrEx>
        <w:trPr>
          <w:trHeight w:val="1017"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固定资产利用率</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部门（单位）实际在用固定资产总额与所有固定资产总额的比率，用以反映和考核部门（单位）固定资产使用效率程度。固定资产利用率=（实际在用固定资产总额/所有固定资产总额）×100%。</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每低于100%一个百分点扣0.1分，扣完为止。</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color w:val="000000"/>
                <w:kern w:val="0"/>
                <w:sz w:val="24"/>
                <w:szCs w:val="24"/>
                <w:u w:val="none"/>
                <w:lang w:val="en-US" w:eastAsia="zh-CN" w:bidi="ar"/>
              </w:rPr>
              <w:t>2</w:t>
            </w:r>
          </w:p>
        </w:tc>
      </w:tr>
      <w:tr>
        <w:tblPrEx>
          <w:tblCellMar>
            <w:top w:w="0" w:type="dxa"/>
            <w:left w:w="108" w:type="dxa"/>
            <w:bottom w:w="0" w:type="dxa"/>
            <w:right w:w="108" w:type="dxa"/>
          </w:tblCellMar>
        </w:tblPrEx>
        <w:trPr>
          <w:trHeight w:val="566" w:hRule="atLeast"/>
        </w:trPr>
        <w:tc>
          <w:tcPr>
            <w:tcW w:w="672"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   出</w:t>
            </w:r>
          </w:p>
        </w:tc>
        <w:tc>
          <w:tcPr>
            <w:tcW w:w="62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履行   （20分）</w:t>
            </w:r>
          </w:p>
        </w:tc>
        <w:tc>
          <w:tcPr>
            <w:tcW w:w="68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实际完成率</w:t>
            </w:r>
          </w:p>
        </w:tc>
        <w:tc>
          <w:tcPr>
            <w:tcW w:w="49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1.指标内容（具体根据年初设定的部门整体支出绩效目标中的数量指标内容填报）</w:t>
            </w:r>
          </w:p>
        </w:tc>
        <w:tc>
          <w:tcPr>
            <w:tcW w:w="297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完成年初设定的数量指标相关内容的，计6分；设定多个数量指标内容的，按每项指标的完成情况分项计分；未完成的不计分。</w:t>
            </w:r>
          </w:p>
        </w:tc>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color w:val="000000"/>
                <w:kern w:val="0"/>
                <w:sz w:val="24"/>
                <w:szCs w:val="24"/>
                <w:u w:val="none"/>
                <w:lang w:val="en-US" w:eastAsia="zh-CN" w:bidi="ar"/>
              </w:rPr>
              <w:t>6</w:t>
            </w:r>
          </w:p>
        </w:tc>
      </w:tr>
      <w:tr>
        <w:tblPrEx>
          <w:tblCellMar>
            <w:top w:w="0" w:type="dxa"/>
            <w:left w:w="108" w:type="dxa"/>
            <w:bottom w:w="0" w:type="dxa"/>
            <w:right w:w="108" w:type="dxa"/>
          </w:tblCellMar>
        </w:tblPrEx>
        <w:trPr>
          <w:trHeight w:val="439"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49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9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439"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49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9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479"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质量达标率</w:t>
            </w:r>
          </w:p>
        </w:tc>
        <w:tc>
          <w:tcPr>
            <w:tcW w:w="49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1.指标内容（具体根据年初设定的部门整体支出绩效目标中的质量指标内容填报）</w:t>
            </w:r>
          </w:p>
        </w:tc>
        <w:tc>
          <w:tcPr>
            <w:tcW w:w="297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达到年初设定的质量指标相关标准的，计6分；设定多个质量指标内容的，按每项指标的完成情况分项计分；未达到的质量标准的不计分。</w:t>
            </w:r>
          </w:p>
        </w:tc>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color w:val="000000"/>
                <w:kern w:val="0"/>
                <w:sz w:val="24"/>
                <w:szCs w:val="24"/>
                <w:u w:val="none"/>
                <w:lang w:val="en-US" w:eastAsia="zh-CN" w:bidi="ar"/>
              </w:rPr>
              <w:t>4</w:t>
            </w:r>
          </w:p>
        </w:tc>
      </w:tr>
      <w:tr>
        <w:tblPrEx>
          <w:tblCellMar>
            <w:top w:w="0" w:type="dxa"/>
            <w:left w:w="108" w:type="dxa"/>
            <w:bottom w:w="0" w:type="dxa"/>
            <w:right w:w="108" w:type="dxa"/>
          </w:tblCellMar>
        </w:tblPrEx>
        <w:trPr>
          <w:trHeight w:val="480"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49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9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480"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49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9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458"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完成及时率</w:t>
            </w:r>
          </w:p>
        </w:tc>
        <w:tc>
          <w:tcPr>
            <w:tcW w:w="49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1.指标内容（具体根据年初设定的部门整体支出绩效目标中的时效指标内容填报）</w:t>
            </w:r>
          </w:p>
        </w:tc>
        <w:tc>
          <w:tcPr>
            <w:tcW w:w="297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达到年初设定的时效指标相关工作进度目标的，计8分；设定多个时效指标内容的，按每项指标的完成情况分项计分；未达到相关工作进度目标的不计分。</w:t>
            </w:r>
          </w:p>
        </w:tc>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color w:val="000000"/>
                <w:kern w:val="0"/>
                <w:sz w:val="24"/>
                <w:szCs w:val="24"/>
                <w:u w:val="none"/>
                <w:lang w:val="en-US" w:eastAsia="zh-CN" w:bidi="ar"/>
              </w:rPr>
              <w:t>6</w:t>
            </w:r>
          </w:p>
        </w:tc>
      </w:tr>
      <w:tr>
        <w:tblPrEx>
          <w:tblCellMar>
            <w:top w:w="0" w:type="dxa"/>
            <w:left w:w="108" w:type="dxa"/>
            <w:bottom w:w="0" w:type="dxa"/>
            <w:right w:w="108" w:type="dxa"/>
          </w:tblCellMar>
        </w:tblPrEx>
        <w:trPr>
          <w:trHeight w:val="480"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49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9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480"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49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9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549" w:hRule="atLeast"/>
        </w:trPr>
        <w:tc>
          <w:tcPr>
            <w:tcW w:w="672"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   果</w:t>
            </w:r>
          </w:p>
        </w:tc>
        <w:tc>
          <w:tcPr>
            <w:tcW w:w="62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履职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效益   （20分）</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p>
        </w:tc>
        <w:tc>
          <w:tcPr>
            <w:tcW w:w="49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1.指标内容（根据年初设定的效益绩效目标内容填报）</w:t>
            </w:r>
          </w:p>
        </w:tc>
        <w:tc>
          <w:tcPr>
            <w:tcW w:w="297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此三项指标根据部门实际并结合部门整体支出绩效目标设立情况有选择的进行设置，并将其细化为相应的个性化指标。达到年初设定的效益指标相关工作目标的，计15分；设定多个效益指标内容的，按每项指标的完成情况分项计分；未达到相关工作履职效益目标的不计分。</w:t>
            </w:r>
          </w:p>
        </w:tc>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color w:val="000000"/>
                <w:kern w:val="0"/>
                <w:sz w:val="24"/>
                <w:szCs w:val="24"/>
                <w:u w:val="none"/>
                <w:lang w:val="en-US" w:eastAsia="zh-CN" w:bidi="ar"/>
              </w:rPr>
              <w:t>13</w:t>
            </w:r>
          </w:p>
        </w:tc>
      </w:tr>
      <w:tr>
        <w:tblPrEx>
          <w:tblCellMar>
            <w:top w:w="0" w:type="dxa"/>
            <w:left w:w="108" w:type="dxa"/>
            <w:bottom w:w="0" w:type="dxa"/>
            <w:right w:w="108" w:type="dxa"/>
          </w:tblCellMar>
        </w:tblPrEx>
        <w:trPr>
          <w:trHeight w:val="619"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49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9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679"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w:t>
            </w:r>
          </w:p>
        </w:tc>
        <w:tc>
          <w:tcPr>
            <w:tcW w:w="49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9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1274" w:hRule="atLeast"/>
        </w:trPr>
        <w:tc>
          <w:tcPr>
            <w:tcW w:w="672"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社会公众或服务对象满意度</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社会公众或服务对象满意度</w:t>
            </w: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90%（含）以上计5分；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80%（含）-90%，计4分；70%（含）-80%，计3分；低于70%计0分。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color w:val="000000"/>
                <w:kern w:val="0"/>
                <w:sz w:val="24"/>
                <w:szCs w:val="24"/>
                <w:u w:val="none"/>
                <w:lang w:val="en-US" w:eastAsia="zh-CN" w:bidi="ar"/>
              </w:rPr>
              <w:t>5</w:t>
            </w:r>
          </w:p>
        </w:tc>
      </w:tr>
      <w:tr>
        <w:tblPrEx>
          <w:tblCellMar>
            <w:top w:w="0" w:type="dxa"/>
            <w:left w:w="108" w:type="dxa"/>
            <w:bottom w:w="0" w:type="dxa"/>
            <w:right w:w="108" w:type="dxa"/>
          </w:tblCellMar>
        </w:tblPrEx>
        <w:trPr>
          <w:trHeight w:val="559" w:hRule="atLeast"/>
        </w:trPr>
        <w:tc>
          <w:tcPr>
            <w:tcW w:w="198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29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89.5</w:t>
            </w:r>
          </w:p>
        </w:tc>
      </w:tr>
    </w:tbl>
    <w:p>
      <w:pPr>
        <w:widowControl/>
        <w:rPr>
          <w:rFonts w:hint="eastAsia" w:ascii="仿宋_GB2312" w:eastAsia="仿宋_GB2312" w:cs="宋体"/>
          <w:kern w:val="0"/>
          <w:sz w:val="28"/>
          <w:szCs w:val="28"/>
        </w:rPr>
        <w:sectPr>
          <w:footerReference r:id="rId4" w:type="first"/>
          <w:footerReference r:id="rId3" w:type="default"/>
          <w:pgSz w:w="11907" w:h="16840"/>
          <w:pgMar w:top="1984" w:right="1417" w:bottom="1417" w:left="1417" w:header="851" w:footer="992" w:gutter="0"/>
          <w:pgBorders>
            <w:top w:val="none" w:sz="0" w:space="0"/>
            <w:left w:val="none" w:sz="0" w:space="0"/>
            <w:bottom w:val="none" w:sz="0" w:space="0"/>
            <w:right w:val="none" w:sz="0" w:space="0"/>
          </w:pgBorders>
          <w:pgNumType w:start="2"/>
          <w:cols w:space="720" w:num="1"/>
          <w:docGrid w:type="lines" w:linePitch="312" w:charSpace="0"/>
        </w:sectPr>
      </w:pPr>
    </w:p>
    <w:p>
      <w:pPr>
        <w:widowControl/>
        <w:rPr>
          <w:rFonts w:hint="eastAsia" w:ascii="仿宋_GB2312" w:eastAsia="仿宋_GB2312" w:cs="宋体"/>
          <w:kern w:val="0"/>
          <w:sz w:val="28"/>
          <w:szCs w:val="28"/>
        </w:rPr>
      </w:pPr>
      <w:r>
        <w:rPr>
          <w:rFonts w:hint="eastAsia" w:ascii="仿宋_GB2312" w:eastAsia="仿宋_GB2312" w:cs="宋体"/>
          <w:kern w:val="0"/>
          <w:sz w:val="28"/>
          <w:szCs w:val="28"/>
        </w:rPr>
        <w:t>附件4</w:t>
      </w:r>
    </w:p>
    <w:tbl>
      <w:tblPr>
        <w:tblStyle w:val="9"/>
        <w:tblW w:w="0" w:type="auto"/>
        <w:tblInd w:w="-226" w:type="dxa"/>
        <w:tblLayout w:type="fixed"/>
        <w:tblCellMar>
          <w:top w:w="0" w:type="dxa"/>
          <w:left w:w="108" w:type="dxa"/>
          <w:bottom w:w="0" w:type="dxa"/>
          <w:right w:w="108" w:type="dxa"/>
        </w:tblCellMar>
      </w:tblPr>
      <w:tblGrid>
        <w:gridCol w:w="1860"/>
        <w:gridCol w:w="732"/>
        <w:gridCol w:w="864"/>
        <w:gridCol w:w="852"/>
        <w:gridCol w:w="1044"/>
        <w:gridCol w:w="984"/>
        <w:gridCol w:w="924"/>
        <w:gridCol w:w="996"/>
        <w:gridCol w:w="984"/>
        <w:gridCol w:w="960"/>
        <w:gridCol w:w="864"/>
        <w:gridCol w:w="828"/>
        <w:gridCol w:w="708"/>
        <w:gridCol w:w="636"/>
        <w:gridCol w:w="912"/>
      </w:tblGrid>
      <w:tr>
        <w:tblPrEx>
          <w:tblCellMar>
            <w:top w:w="0" w:type="dxa"/>
            <w:left w:w="108" w:type="dxa"/>
            <w:bottom w:w="0" w:type="dxa"/>
            <w:right w:w="108" w:type="dxa"/>
          </w:tblCellMar>
        </w:tblPrEx>
        <w:trPr>
          <w:trHeight w:val="483" w:hRule="atLeast"/>
        </w:trPr>
        <w:tc>
          <w:tcPr>
            <w:tcW w:w="14148" w:type="dxa"/>
            <w:gridSpan w:val="15"/>
            <w:tcBorders>
              <w:top w:val="nil"/>
              <w:left w:val="nil"/>
              <w:bottom w:val="nil"/>
              <w:right w:val="nil"/>
            </w:tcBorders>
            <w:noWrap w:val="0"/>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1"/>
                <w:szCs w:val="21"/>
                <w:u w:val="none"/>
              </w:rPr>
            </w:pPr>
            <w:r>
              <w:rPr>
                <w:rFonts w:hint="eastAsia" w:ascii="黑体" w:hAnsi="黑体" w:eastAsia="黑体" w:cs="黑体"/>
                <w:b w:val="0"/>
                <w:bCs w:val="0"/>
                <w:i w:val="0"/>
                <w:iCs w:val="0"/>
                <w:color w:val="000000"/>
                <w:kern w:val="0"/>
                <w:sz w:val="36"/>
                <w:szCs w:val="36"/>
                <w:u w:val="none"/>
                <w:lang w:val="en-US" w:eastAsia="zh-CN" w:bidi="ar"/>
              </w:rPr>
              <w:t>2020年度本级项目绩效评价基础数据表</w:t>
            </w:r>
          </w:p>
        </w:tc>
      </w:tr>
      <w:tr>
        <w:tblPrEx>
          <w:tblCellMar>
            <w:top w:w="0" w:type="dxa"/>
            <w:left w:w="108" w:type="dxa"/>
            <w:bottom w:w="0" w:type="dxa"/>
            <w:right w:w="108" w:type="dxa"/>
          </w:tblCellMar>
        </w:tblPrEx>
        <w:trPr>
          <w:trHeight w:val="390" w:hRule="atLeast"/>
        </w:trPr>
        <w:tc>
          <w:tcPr>
            <w:tcW w:w="1860" w:type="dxa"/>
            <w:tcBorders>
              <w:top w:val="nil"/>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填报单位（章）：</w:t>
            </w:r>
          </w:p>
        </w:tc>
        <w:tc>
          <w:tcPr>
            <w:tcW w:w="732" w:type="dxa"/>
            <w:tcBorders>
              <w:top w:val="nil"/>
              <w:left w:val="nil"/>
              <w:bottom w:val="nil"/>
              <w:right w:val="nil"/>
            </w:tcBorders>
            <w:noWrap w:val="0"/>
            <w:vAlign w:val="bottom"/>
          </w:tcPr>
          <w:p>
            <w:pPr>
              <w:rPr>
                <w:rFonts w:hint="eastAsia" w:ascii="宋体" w:hAnsi="宋体" w:eastAsia="宋体" w:cs="宋体"/>
                <w:i w:val="0"/>
                <w:iCs w:val="0"/>
                <w:color w:val="000000"/>
                <w:sz w:val="21"/>
                <w:szCs w:val="21"/>
                <w:u w:val="none"/>
              </w:rPr>
            </w:pPr>
          </w:p>
        </w:tc>
        <w:tc>
          <w:tcPr>
            <w:tcW w:w="864" w:type="dxa"/>
            <w:tcBorders>
              <w:top w:val="nil"/>
              <w:left w:val="nil"/>
              <w:bottom w:val="nil"/>
              <w:right w:val="nil"/>
            </w:tcBorders>
            <w:noWrap w:val="0"/>
            <w:vAlign w:val="bottom"/>
          </w:tcPr>
          <w:p>
            <w:pPr>
              <w:rPr>
                <w:rFonts w:hint="eastAsia" w:ascii="宋体" w:hAnsi="宋体" w:eastAsia="宋体" w:cs="宋体"/>
                <w:i w:val="0"/>
                <w:iCs w:val="0"/>
                <w:color w:val="000000"/>
                <w:sz w:val="21"/>
                <w:szCs w:val="21"/>
                <w:u w:val="none"/>
              </w:rPr>
            </w:pPr>
          </w:p>
        </w:tc>
        <w:tc>
          <w:tcPr>
            <w:tcW w:w="852" w:type="dxa"/>
            <w:tcBorders>
              <w:top w:val="nil"/>
              <w:left w:val="nil"/>
              <w:bottom w:val="nil"/>
              <w:right w:val="nil"/>
            </w:tcBorders>
            <w:noWrap w:val="0"/>
            <w:vAlign w:val="bottom"/>
          </w:tcPr>
          <w:p>
            <w:pPr>
              <w:rPr>
                <w:rFonts w:hint="eastAsia" w:ascii="宋体" w:hAnsi="宋体" w:eastAsia="宋体" w:cs="宋体"/>
                <w:i w:val="0"/>
                <w:iCs w:val="0"/>
                <w:color w:val="000000"/>
                <w:sz w:val="21"/>
                <w:szCs w:val="21"/>
                <w:u w:val="none"/>
              </w:rPr>
            </w:pPr>
          </w:p>
        </w:tc>
        <w:tc>
          <w:tcPr>
            <w:tcW w:w="1044" w:type="dxa"/>
            <w:tcBorders>
              <w:top w:val="nil"/>
              <w:left w:val="nil"/>
              <w:bottom w:val="nil"/>
              <w:right w:val="nil"/>
            </w:tcBorders>
            <w:noWrap w:val="0"/>
            <w:vAlign w:val="bottom"/>
          </w:tcPr>
          <w:p>
            <w:pPr>
              <w:rPr>
                <w:rFonts w:hint="eastAsia" w:ascii="宋体" w:hAnsi="宋体" w:eastAsia="宋体" w:cs="宋体"/>
                <w:i w:val="0"/>
                <w:iCs w:val="0"/>
                <w:color w:val="000000"/>
                <w:sz w:val="21"/>
                <w:szCs w:val="21"/>
                <w:u w:val="none"/>
              </w:rPr>
            </w:pPr>
          </w:p>
        </w:tc>
        <w:tc>
          <w:tcPr>
            <w:tcW w:w="984" w:type="dxa"/>
            <w:tcBorders>
              <w:top w:val="nil"/>
              <w:left w:val="nil"/>
              <w:bottom w:val="nil"/>
              <w:right w:val="nil"/>
            </w:tcBorders>
            <w:noWrap w:val="0"/>
            <w:vAlign w:val="bottom"/>
          </w:tcPr>
          <w:p>
            <w:pPr>
              <w:rPr>
                <w:rFonts w:hint="eastAsia" w:ascii="宋体" w:hAnsi="宋体" w:eastAsia="宋体" w:cs="宋体"/>
                <w:i w:val="0"/>
                <w:iCs w:val="0"/>
                <w:color w:val="000000"/>
                <w:sz w:val="21"/>
                <w:szCs w:val="21"/>
                <w:u w:val="none"/>
              </w:rPr>
            </w:pPr>
          </w:p>
        </w:tc>
        <w:tc>
          <w:tcPr>
            <w:tcW w:w="924" w:type="dxa"/>
            <w:tcBorders>
              <w:top w:val="nil"/>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日期：</w:t>
            </w:r>
          </w:p>
        </w:tc>
        <w:tc>
          <w:tcPr>
            <w:tcW w:w="996" w:type="dxa"/>
            <w:tcBorders>
              <w:top w:val="nil"/>
              <w:left w:val="nil"/>
              <w:bottom w:val="nil"/>
              <w:right w:val="nil"/>
            </w:tcBorders>
            <w:noWrap w:val="0"/>
            <w:vAlign w:val="bottom"/>
          </w:tcPr>
          <w:p>
            <w:pPr>
              <w:rPr>
                <w:rFonts w:hint="eastAsia" w:ascii="宋体" w:hAnsi="宋体" w:eastAsia="宋体" w:cs="宋体"/>
                <w:i w:val="0"/>
                <w:iCs w:val="0"/>
                <w:color w:val="000000"/>
                <w:sz w:val="21"/>
                <w:szCs w:val="21"/>
                <w:u w:val="none"/>
              </w:rPr>
            </w:pPr>
          </w:p>
        </w:tc>
        <w:tc>
          <w:tcPr>
            <w:tcW w:w="984" w:type="dxa"/>
            <w:tcBorders>
              <w:top w:val="nil"/>
              <w:left w:val="nil"/>
              <w:bottom w:val="nil"/>
              <w:right w:val="nil"/>
            </w:tcBorders>
            <w:noWrap w:val="0"/>
            <w:vAlign w:val="bottom"/>
          </w:tcPr>
          <w:p>
            <w:pPr>
              <w:rPr>
                <w:rFonts w:hint="eastAsia" w:ascii="宋体" w:hAnsi="宋体" w:eastAsia="宋体" w:cs="宋体"/>
                <w:i w:val="0"/>
                <w:iCs w:val="0"/>
                <w:color w:val="000000"/>
                <w:sz w:val="21"/>
                <w:szCs w:val="21"/>
                <w:u w:val="none"/>
              </w:rPr>
            </w:pPr>
          </w:p>
        </w:tc>
        <w:tc>
          <w:tcPr>
            <w:tcW w:w="960" w:type="dxa"/>
            <w:tcBorders>
              <w:top w:val="nil"/>
              <w:left w:val="nil"/>
              <w:bottom w:val="nil"/>
              <w:right w:val="nil"/>
            </w:tcBorders>
            <w:noWrap w:val="0"/>
            <w:vAlign w:val="bottom"/>
          </w:tcPr>
          <w:p>
            <w:pPr>
              <w:rPr>
                <w:rFonts w:hint="eastAsia" w:ascii="宋体" w:hAnsi="宋体" w:eastAsia="宋体" w:cs="宋体"/>
                <w:i w:val="0"/>
                <w:iCs w:val="0"/>
                <w:color w:val="000000"/>
                <w:sz w:val="21"/>
                <w:szCs w:val="21"/>
                <w:u w:val="none"/>
              </w:rPr>
            </w:pPr>
          </w:p>
        </w:tc>
        <w:tc>
          <w:tcPr>
            <w:tcW w:w="864" w:type="dxa"/>
            <w:tcBorders>
              <w:top w:val="nil"/>
              <w:left w:val="nil"/>
              <w:bottom w:val="nil"/>
              <w:right w:val="nil"/>
            </w:tcBorders>
            <w:noWrap w:val="0"/>
            <w:vAlign w:val="bottom"/>
          </w:tcPr>
          <w:p>
            <w:pPr>
              <w:rPr>
                <w:rFonts w:hint="eastAsia" w:ascii="宋体" w:hAnsi="宋体" w:eastAsia="宋体" w:cs="宋体"/>
                <w:i w:val="0"/>
                <w:iCs w:val="0"/>
                <w:color w:val="000000"/>
                <w:sz w:val="21"/>
                <w:szCs w:val="21"/>
                <w:u w:val="none"/>
              </w:rPr>
            </w:pPr>
          </w:p>
        </w:tc>
        <w:tc>
          <w:tcPr>
            <w:tcW w:w="828" w:type="dxa"/>
            <w:tcBorders>
              <w:top w:val="nil"/>
              <w:left w:val="nil"/>
              <w:bottom w:val="nil"/>
              <w:right w:val="nil"/>
            </w:tcBorders>
            <w:noWrap w:val="0"/>
            <w:vAlign w:val="bottom"/>
          </w:tcPr>
          <w:p>
            <w:pPr>
              <w:rPr>
                <w:rFonts w:hint="eastAsia" w:ascii="宋体" w:hAnsi="宋体" w:eastAsia="宋体" w:cs="宋体"/>
                <w:i w:val="0"/>
                <w:iCs w:val="0"/>
                <w:color w:val="000000"/>
                <w:sz w:val="21"/>
                <w:szCs w:val="21"/>
                <w:u w:val="none"/>
              </w:rPr>
            </w:pPr>
          </w:p>
        </w:tc>
        <w:tc>
          <w:tcPr>
            <w:tcW w:w="708" w:type="dxa"/>
            <w:tcBorders>
              <w:top w:val="nil"/>
              <w:left w:val="nil"/>
              <w:bottom w:val="nil"/>
              <w:right w:val="nil"/>
            </w:tcBorders>
            <w:noWrap w:val="0"/>
            <w:vAlign w:val="bottom"/>
          </w:tcPr>
          <w:p>
            <w:pPr>
              <w:rPr>
                <w:rFonts w:hint="eastAsia" w:ascii="宋体" w:hAnsi="宋体" w:eastAsia="宋体" w:cs="宋体"/>
                <w:i w:val="0"/>
                <w:iCs w:val="0"/>
                <w:color w:val="000000"/>
                <w:sz w:val="21"/>
                <w:szCs w:val="21"/>
                <w:u w:val="none"/>
              </w:rPr>
            </w:pPr>
          </w:p>
        </w:tc>
        <w:tc>
          <w:tcPr>
            <w:tcW w:w="636" w:type="dxa"/>
            <w:tcBorders>
              <w:top w:val="nil"/>
              <w:left w:val="nil"/>
              <w:bottom w:val="nil"/>
              <w:right w:val="nil"/>
            </w:tcBorders>
            <w:noWrap w:val="0"/>
            <w:vAlign w:val="bottom"/>
          </w:tcPr>
          <w:p>
            <w:pPr>
              <w:rPr>
                <w:rFonts w:hint="eastAsia" w:ascii="宋体" w:hAnsi="宋体" w:eastAsia="宋体" w:cs="宋体"/>
                <w:i w:val="0"/>
                <w:iCs w:val="0"/>
                <w:color w:val="000000"/>
                <w:sz w:val="21"/>
                <w:szCs w:val="21"/>
                <w:u w:val="none"/>
              </w:rPr>
            </w:pPr>
          </w:p>
        </w:tc>
        <w:tc>
          <w:tcPr>
            <w:tcW w:w="912" w:type="dxa"/>
            <w:tcBorders>
              <w:top w:val="nil"/>
              <w:left w:val="nil"/>
              <w:bottom w:val="nil"/>
              <w:right w:val="nil"/>
            </w:tcBorders>
            <w:noWrap w:val="0"/>
            <w:vAlign w:val="bottom"/>
          </w:tcPr>
          <w:p>
            <w:pP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645" w:hRule="atLeast"/>
        </w:trPr>
        <w:tc>
          <w:tcPr>
            <w:tcW w:w="18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73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86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是否属跨年度项目</w:t>
            </w:r>
          </w:p>
        </w:tc>
        <w:tc>
          <w:tcPr>
            <w:tcW w:w="288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项目整体实施情况</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（跨年度项目）</w:t>
            </w:r>
          </w:p>
        </w:tc>
        <w:tc>
          <w:tcPr>
            <w:tcW w:w="290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本年度项目实施情况</w:t>
            </w:r>
          </w:p>
        </w:tc>
        <w:tc>
          <w:tcPr>
            <w:tcW w:w="182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资金到位情况</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（万元）</w:t>
            </w:r>
          </w:p>
        </w:tc>
        <w:tc>
          <w:tcPr>
            <w:tcW w:w="217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资金使用情况（万元）</w:t>
            </w:r>
          </w:p>
        </w:tc>
        <w:tc>
          <w:tcPr>
            <w:tcW w:w="91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CellMar>
            <w:top w:w="0" w:type="dxa"/>
            <w:left w:w="108" w:type="dxa"/>
            <w:bottom w:w="0" w:type="dxa"/>
            <w:right w:w="108" w:type="dxa"/>
          </w:tblCellMar>
        </w:tblPrEx>
        <w:trPr>
          <w:trHeight w:val="840" w:hRule="atLeast"/>
        </w:trPr>
        <w:tc>
          <w:tcPr>
            <w:tcW w:w="186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3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项目进度（完工%）</w:t>
            </w:r>
          </w:p>
        </w:tc>
        <w:tc>
          <w:tcPr>
            <w:tcW w:w="10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绩效目标完成情况</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项目计划起止时间</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项目进度（完工%）</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绩效目标完成情况</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项目计划起止时间</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资金到位时间</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资金到位金额</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商品和服务</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人工劳务</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p>
        </w:tc>
        <w:tc>
          <w:tcPr>
            <w:tcW w:w="91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499" w:hRule="atLeast"/>
        </w:trPr>
        <w:tc>
          <w:tcPr>
            <w:tcW w:w="18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目标1：</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目标1：</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时间1：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499" w:hRule="atLeast"/>
        </w:trPr>
        <w:tc>
          <w:tcPr>
            <w:tcW w:w="18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目标2：</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目标2：</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时间2：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499" w:hRule="atLeast"/>
        </w:trPr>
        <w:tc>
          <w:tcPr>
            <w:tcW w:w="18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目标3：</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目标3：</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时间3：</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499" w:hRule="atLeast"/>
        </w:trPr>
        <w:tc>
          <w:tcPr>
            <w:tcW w:w="18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499" w:hRule="atLeast"/>
        </w:trPr>
        <w:tc>
          <w:tcPr>
            <w:tcW w:w="18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9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499" w:hRule="atLeast"/>
        </w:trPr>
        <w:tc>
          <w:tcPr>
            <w:tcW w:w="18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9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499" w:hRule="atLeast"/>
        </w:trPr>
        <w:tc>
          <w:tcPr>
            <w:tcW w:w="18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9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499" w:hRule="atLeast"/>
        </w:trPr>
        <w:tc>
          <w:tcPr>
            <w:tcW w:w="18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9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499" w:hRule="atLeast"/>
        </w:trPr>
        <w:tc>
          <w:tcPr>
            <w:tcW w:w="18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9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499" w:hRule="atLeast"/>
        </w:trPr>
        <w:tc>
          <w:tcPr>
            <w:tcW w:w="18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9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bl>
    <w:p>
      <w:pPr>
        <w:widowControl/>
        <w:rPr>
          <w:rFonts w:hint="eastAsia"/>
          <w:color w:val="000000"/>
          <w:kern w:val="0"/>
          <w:szCs w:val="32"/>
        </w:rPr>
      </w:pPr>
    </w:p>
    <w:p>
      <w:pPr>
        <w:widowControl/>
        <w:rPr>
          <w:rFonts w:hint="eastAsia"/>
          <w:color w:val="000000"/>
          <w:kern w:val="0"/>
          <w:szCs w:val="32"/>
        </w:rPr>
        <w:sectPr>
          <w:pgSz w:w="16840" w:h="11907" w:orient="landscape"/>
          <w:pgMar w:top="1417" w:right="1984" w:bottom="1417" w:left="1417" w:header="851" w:footer="992" w:gutter="0"/>
          <w:pgBorders>
            <w:top w:val="none" w:sz="0" w:space="0"/>
            <w:left w:val="none" w:sz="0" w:space="0"/>
            <w:bottom w:val="none" w:sz="0" w:space="0"/>
            <w:right w:val="none" w:sz="0" w:space="0"/>
          </w:pgBorders>
          <w:cols w:space="720" w:num="1"/>
          <w:titlePg/>
          <w:rtlGutter w:val="0"/>
          <w:docGrid w:type="lines" w:linePitch="312" w:charSpace="0"/>
        </w:sectPr>
      </w:pPr>
    </w:p>
    <w:p>
      <w:pPr>
        <w:widowControl/>
        <w:rPr>
          <w:rFonts w:hint="eastAsia"/>
          <w:color w:val="000000"/>
          <w:kern w:val="0"/>
          <w:sz w:val="28"/>
          <w:szCs w:val="28"/>
        </w:rPr>
      </w:pPr>
      <w:r>
        <w:rPr>
          <w:rFonts w:hint="eastAsia"/>
          <w:color w:val="000000"/>
          <w:kern w:val="0"/>
          <w:sz w:val="28"/>
          <w:szCs w:val="28"/>
        </w:rPr>
        <w:t>附件5</w:t>
      </w:r>
    </w:p>
    <w:p>
      <w:pPr>
        <w:spacing w:line="400" w:lineRule="exact"/>
        <w:jc w:val="center"/>
        <w:rPr>
          <w:rFonts w:hint="eastAsia" w:ascii="黑体" w:hAnsi="宋体" w:eastAsia="黑体"/>
          <w:b w:val="0"/>
          <w:bCs/>
          <w:color w:val="000000"/>
          <w:kern w:val="0"/>
          <w:sz w:val="36"/>
          <w:szCs w:val="36"/>
        </w:rPr>
      </w:pPr>
      <w:r>
        <w:rPr>
          <w:rFonts w:hint="eastAsia" w:ascii="黑体" w:eastAsia="黑体" w:cs="宋体"/>
          <w:b w:val="0"/>
          <w:bCs/>
          <w:kern w:val="0"/>
          <w:sz w:val="36"/>
          <w:szCs w:val="36"/>
        </w:rPr>
        <w:t>2020年</w:t>
      </w:r>
      <w:r>
        <w:rPr>
          <w:rFonts w:hint="eastAsia" w:ascii="黑体" w:eastAsia="黑体" w:cs="宋体"/>
          <w:b w:val="0"/>
          <w:bCs/>
          <w:kern w:val="0"/>
          <w:sz w:val="36"/>
          <w:szCs w:val="36"/>
          <w:lang w:eastAsia="zh-CN"/>
        </w:rPr>
        <w:t>度</w:t>
      </w:r>
      <w:r>
        <w:rPr>
          <w:rFonts w:hint="eastAsia" w:ascii="黑体" w:eastAsia="黑体" w:cs="宋体"/>
          <w:b w:val="0"/>
          <w:bCs/>
          <w:kern w:val="0"/>
          <w:sz w:val="36"/>
          <w:szCs w:val="36"/>
        </w:rPr>
        <w:t>项目支出绩效评价评分表</w:t>
      </w:r>
    </w:p>
    <w:tbl>
      <w:tblPr>
        <w:tblStyle w:val="9"/>
        <w:tblW w:w="0" w:type="auto"/>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57" w:type="dxa"/>
          <w:bottom w:w="0" w:type="dxa"/>
          <w:right w:w="57" w:type="dxa"/>
        </w:tblCellMar>
      </w:tblPr>
      <w:tblGrid>
        <w:gridCol w:w="593"/>
        <w:gridCol w:w="719"/>
        <w:gridCol w:w="601"/>
        <w:gridCol w:w="671"/>
        <w:gridCol w:w="2485"/>
        <w:gridCol w:w="3876"/>
        <w:gridCol w:w="72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571" w:hRule="atLeast"/>
          <w:tblHeader/>
          <w:tblCellSpacing w:w="0" w:type="dxa"/>
          <w:jc w:val="center"/>
        </w:trPr>
        <w:tc>
          <w:tcPr>
            <w:tcW w:w="593" w:type="dxa"/>
            <w:tcBorders>
              <w:tl2br w:val="nil"/>
              <w:tr2bl w:val="nil"/>
            </w:tcBorders>
            <w:noWrap w:val="0"/>
            <w:vAlign w:val="center"/>
          </w:tcPr>
          <w:p>
            <w:pPr>
              <w:widowControl/>
              <w:spacing w:line="240" w:lineRule="exact"/>
              <w:jc w:val="center"/>
              <w:rPr>
                <w:rFonts w:hint="eastAsia" w:ascii="宋体" w:eastAsia="宋体"/>
                <w:b/>
                <w:bCs/>
                <w:kern w:val="0"/>
                <w:sz w:val="18"/>
                <w:szCs w:val="18"/>
              </w:rPr>
            </w:pPr>
            <w:r>
              <w:rPr>
                <w:rFonts w:hint="eastAsia" w:ascii="宋体" w:eastAsia="宋体"/>
                <w:b/>
                <w:bCs/>
                <w:kern w:val="0"/>
                <w:sz w:val="18"/>
                <w:szCs w:val="18"/>
              </w:rPr>
              <w:t>一级</w:t>
            </w:r>
          </w:p>
          <w:p>
            <w:pPr>
              <w:widowControl/>
              <w:spacing w:line="240" w:lineRule="exact"/>
              <w:jc w:val="center"/>
              <w:rPr>
                <w:rFonts w:hint="eastAsia" w:ascii="宋体" w:eastAsia="宋体"/>
                <w:kern w:val="0"/>
                <w:sz w:val="18"/>
                <w:szCs w:val="18"/>
              </w:rPr>
            </w:pPr>
            <w:r>
              <w:rPr>
                <w:rFonts w:hint="eastAsia" w:ascii="宋体" w:eastAsia="宋体"/>
                <w:b/>
                <w:bCs/>
                <w:kern w:val="0"/>
                <w:sz w:val="18"/>
                <w:szCs w:val="18"/>
              </w:rPr>
              <w:t>指标</w:t>
            </w:r>
          </w:p>
        </w:tc>
        <w:tc>
          <w:tcPr>
            <w:tcW w:w="719"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b/>
                <w:bCs/>
                <w:kern w:val="0"/>
                <w:sz w:val="18"/>
                <w:szCs w:val="18"/>
              </w:rPr>
              <w:t>二级</w:t>
            </w:r>
            <w:r>
              <w:rPr>
                <w:rFonts w:hint="eastAsia" w:ascii="宋体" w:eastAsia="宋体"/>
                <w:kern w:val="0"/>
                <w:sz w:val="18"/>
                <w:szCs w:val="18"/>
              </w:rPr>
              <w:br w:type="textWrapping"/>
            </w:r>
            <w:r>
              <w:rPr>
                <w:rFonts w:hint="eastAsia" w:ascii="宋体" w:eastAsia="宋体"/>
                <w:b/>
                <w:bCs/>
                <w:kern w:val="0"/>
                <w:sz w:val="18"/>
                <w:szCs w:val="18"/>
              </w:rPr>
              <w:t>指标</w:t>
            </w:r>
          </w:p>
        </w:tc>
        <w:tc>
          <w:tcPr>
            <w:tcW w:w="601" w:type="dxa"/>
            <w:tcBorders>
              <w:tl2br w:val="nil"/>
              <w:tr2bl w:val="nil"/>
            </w:tcBorders>
            <w:noWrap w:val="0"/>
            <w:vAlign w:val="center"/>
          </w:tcPr>
          <w:p>
            <w:pPr>
              <w:widowControl/>
              <w:spacing w:line="240" w:lineRule="exact"/>
              <w:jc w:val="center"/>
              <w:rPr>
                <w:rFonts w:hint="eastAsia" w:ascii="宋体" w:eastAsia="宋体"/>
                <w:b/>
                <w:bCs/>
                <w:kern w:val="0"/>
                <w:sz w:val="18"/>
                <w:szCs w:val="18"/>
              </w:rPr>
            </w:pPr>
            <w:r>
              <w:rPr>
                <w:rFonts w:hint="eastAsia" w:ascii="宋体" w:eastAsia="宋体"/>
                <w:b/>
                <w:bCs/>
                <w:kern w:val="0"/>
                <w:sz w:val="18"/>
                <w:szCs w:val="18"/>
              </w:rPr>
              <w:t>三级</w:t>
            </w:r>
          </w:p>
          <w:p>
            <w:pPr>
              <w:widowControl/>
              <w:spacing w:line="240" w:lineRule="exact"/>
              <w:jc w:val="center"/>
              <w:rPr>
                <w:rFonts w:hint="eastAsia" w:ascii="宋体" w:eastAsia="宋体"/>
                <w:kern w:val="0"/>
                <w:sz w:val="18"/>
                <w:szCs w:val="18"/>
              </w:rPr>
            </w:pPr>
            <w:r>
              <w:rPr>
                <w:rFonts w:hint="eastAsia" w:ascii="宋体" w:eastAsia="宋体"/>
                <w:b/>
                <w:bCs/>
                <w:kern w:val="0"/>
                <w:sz w:val="18"/>
                <w:szCs w:val="18"/>
              </w:rPr>
              <w:t>指标</w:t>
            </w:r>
          </w:p>
        </w:tc>
        <w:tc>
          <w:tcPr>
            <w:tcW w:w="671" w:type="dxa"/>
            <w:tcBorders>
              <w:tl2br w:val="nil"/>
              <w:tr2bl w:val="nil"/>
            </w:tcBorders>
            <w:noWrap w:val="0"/>
            <w:vAlign w:val="center"/>
          </w:tcPr>
          <w:p>
            <w:pPr>
              <w:widowControl/>
              <w:spacing w:line="240" w:lineRule="exact"/>
              <w:jc w:val="center"/>
              <w:rPr>
                <w:rFonts w:hint="eastAsia" w:ascii="宋体" w:eastAsia="宋体"/>
                <w:b/>
                <w:bCs/>
                <w:kern w:val="0"/>
                <w:sz w:val="18"/>
                <w:szCs w:val="18"/>
              </w:rPr>
            </w:pPr>
            <w:r>
              <w:rPr>
                <w:rFonts w:hint="eastAsia" w:ascii="宋体" w:eastAsia="宋体"/>
                <w:b/>
                <w:bCs/>
                <w:kern w:val="0"/>
                <w:sz w:val="18"/>
                <w:szCs w:val="18"/>
              </w:rPr>
              <w:t>分值</w:t>
            </w:r>
          </w:p>
        </w:tc>
        <w:tc>
          <w:tcPr>
            <w:tcW w:w="2485"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b/>
                <w:bCs/>
                <w:kern w:val="0"/>
                <w:sz w:val="18"/>
                <w:szCs w:val="18"/>
              </w:rPr>
              <w:t>指标解释</w:t>
            </w:r>
          </w:p>
        </w:tc>
        <w:tc>
          <w:tcPr>
            <w:tcW w:w="3876"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b/>
                <w:bCs/>
                <w:kern w:val="0"/>
                <w:sz w:val="18"/>
                <w:szCs w:val="18"/>
              </w:rPr>
              <w:t>指标说明</w:t>
            </w:r>
          </w:p>
        </w:tc>
        <w:tc>
          <w:tcPr>
            <w:tcW w:w="720" w:type="dxa"/>
            <w:tcBorders>
              <w:tl2br w:val="nil"/>
              <w:tr2bl w:val="nil"/>
            </w:tcBorders>
            <w:noWrap w:val="0"/>
            <w:vAlign w:val="center"/>
          </w:tcPr>
          <w:p>
            <w:pPr>
              <w:widowControl/>
              <w:spacing w:line="240" w:lineRule="exact"/>
              <w:jc w:val="center"/>
              <w:rPr>
                <w:rFonts w:hint="eastAsia" w:ascii="宋体" w:eastAsia="宋体"/>
                <w:b/>
                <w:bCs/>
                <w:kern w:val="0"/>
                <w:sz w:val="18"/>
                <w:szCs w:val="18"/>
              </w:rPr>
            </w:pPr>
            <w:r>
              <w:rPr>
                <w:rFonts w:hint="eastAsia" w:ascii="宋体" w:eastAsia="宋体"/>
                <w:b/>
                <w:bCs/>
                <w:kern w:val="0"/>
                <w:sz w:val="18"/>
                <w:szCs w:val="18"/>
              </w:rPr>
              <w:t>自评分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95" w:hRule="atLeast"/>
          <w:tblCellSpacing w:w="0" w:type="dxa"/>
          <w:jc w:val="center"/>
        </w:trPr>
        <w:tc>
          <w:tcPr>
            <w:tcW w:w="593" w:type="dxa"/>
            <w:vMerge w:val="restart"/>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投</w:t>
            </w:r>
          </w:p>
          <w:p>
            <w:pPr>
              <w:widowControl/>
              <w:spacing w:line="240" w:lineRule="exact"/>
              <w:jc w:val="center"/>
              <w:rPr>
                <w:rFonts w:hint="eastAsia" w:ascii="宋体" w:eastAsia="宋体"/>
                <w:kern w:val="0"/>
                <w:sz w:val="18"/>
                <w:szCs w:val="18"/>
              </w:rPr>
            </w:pPr>
          </w:p>
          <w:p>
            <w:pPr>
              <w:widowControl/>
              <w:spacing w:line="240" w:lineRule="exact"/>
              <w:jc w:val="center"/>
              <w:rPr>
                <w:rFonts w:hint="eastAsia" w:ascii="宋体" w:eastAsia="宋体"/>
                <w:kern w:val="0"/>
                <w:sz w:val="18"/>
                <w:szCs w:val="18"/>
              </w:rPr>
            </w:pPr>
            <w:r>
              <w:rPr>
                <w:rFonts w:hint="eastAsia" w:ascii="宋体" w:eastAsia="宋体"/>
                <w:kern w:val="0"/>
                <w:sz w:val="18"/>
                <w:szCs w:val="18"/>
              </w:rPr>
              <w:t>入</w:t>
            </w:r>
          </w:p>
        </w:tc>
        <w:tc>
          <w:tcPr>
            <w:tcW w:w="719" w:type="dxa"/>
            <w:vMerge w:val="restart"/>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项目</w:t>
            </w:r>
            <w:r>
              <w:rPr>
                <w:rFonts w:hint="eastAsia" w:ascii="宋体" w:eastAsia="宋体"/>
                <w:kern w:val="0"/>
                <w:sz w:val="18"/>
                <w:szCs w:val="18"/>
              </w:rPr>
              <w:br w:type="textWrapping"/>
            </w:r>
            <w:r>
              <w:rPr>
                <w:rFonts w:hint="eastAsia" w:ascii="宋体" w:eastAsia="宋体"/>
                <w:kern w:val="0"/>
                <w:sz w:val="18"/>
                <w:szCs w:val="18"/>
              </w:rPr>
              <w:t>立项</w:t>
            </w: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项</w:t>
            </w:r>
            <w:r>
              <w:rPr>
                <w:rFonts w:hint="eastAsia" w:ascii="宋体" w:hAnsi="Times New Roman" w:eastAsia="宋体" w:cs="Times New Roman"/>
                <w:kern w:val="0"/>
                <w:sz w:val="18"/>
                <w:szCs w:val="18"/>
              </w:rPr>
              <w:t>目立项规范性</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lang w:eastAsia="zh-CN"/>
              </w:rPr>
            </w:pPr>
            <w:r>
              <w:rPr>
                <w:rFonts w:hint="eastAsia" w:ascii="宋体"/>
                <w:kern w:val="0"/>
                <w:sz w:val="18"/>
                <w:szCs w:val="18"/>
                <w:lang w:val="en-US" w:eastAsia="zh-CN"/>
              </w:rPr>
              <w:t>2</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项目的申请、设立过程是否符合相关要求，用以反映和考核项目立项的规范情况。</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评价要点：</w:t>
            </w:r>
            <w:r>
              <w:rPr>
                <w:rFonts w:hint="eastAsia" w:ascii="宋体" w:eastAsia="宋体"/>
                <w:kern w:val="0"/>
                <w:sz w:val="18"/>
                <w:szCs w:val="18"/>
              </w:rPr>
              <w:br w:type="textWrapping"/>
            </w:r>
            <w:r>
              <w:rPr>
                <w:rFonts w:hint="eastAsia" w:ascii="宋体" w:eastAsia="宋体"/>
                <w:kern w:val="0"/>
                <w:sz w:val="18"/>
                <w:szCs w:val="18"/>
              </w:rPr>
              <w:t>①项目是否按照规定的程序申请设立；</w:t>
            </w:r>
            <w:r>
              <w:rPr>
                <w:rFonts w:hint="eastAsia" w:ascii="宋体" w:eastAsia="宋体"/>
                <w:kern w:val="0"/>
                <w:sz w:val="18"/>
                <w:szCs w:val="18"/>
              </w:rPr>
              <w:br w:type="textWrapping"/>
            </w:r>
            <w:r>
              <w:rPr>
                <w:rFonts w:hint="eastAsia" w:ascii="宋体" w:eastAsia="宋体"/>
                <w:kern w:val="0"/>
                <w:sz w:val="18"/>
                <w:szCs w:val="18"/>
              </w:rPr>
              <w:t>②所提交的文件、材料是否符合相关要求；</w:t>
            </w:r>
            <w:r>
              <w:rPr>
                <w:rFonts w:hint="eastAsia" w:ascii="宋体" w:eastAsia="宋体"/>
                <w:kern w:val="0"/>
                <w:sz w:val="18"/>
                <w:szCs w:val="18"/>
              </w:rPr>
              <w:br w:type="textWrapping"/>
            </w:r>
            <w:r>
              <w:rPr>
                <w:rFonts w:hint="eastAsia" w:ascii="宋体" w:eastAsia="宋体"/>
                <w:kern w:val="0"/>
                <w:sz w:val="18"/>
                <w:szCs w:val="18"/>
              </w:rPr>
              <w:t>③事前是否已经过必要的可行性研究、专家论证、风险评估、集体决策等。</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737" w:hRule="atLeast"/>
          <w:tblCellSpacing w:w="0" w:type="dxa"/>
          <w:jc w:val="center"/>
        </w:trPr>
        <w:tc>
          <w:tcPr>
            <w:tcW w:w="593" w:type="dxa"/>
            <w:vMerge w:val="continue"/>
            <w:tcBorders>
              <w:tl2br w:val="nil"/>
              <w:tr2bl w:val="nil"/>
            </w:tcBorders>
            <w:noWrap w:val="0"/>
            <w:vAlign w:val="center"/>
          </w:tcPr>
          <w:p>
            <w:pPr>
              <w:jc w:val="center"/>
            </w:pPr>
          </w:p>
        </w:tc>
        <w:tc>
          <w:tcPr>
            <w:tcW w:w="719" w:type="dxa"/>
            <w:vMerge w:val="continue"/>
            <w:tcBorders>
              <w:tl2br w:val="nil"/>
              <w:tr2bl w:val="nil"/>
            </w:tcBorders>
            <w:noWrap w:val="0"/>
            <w:vAlign w:val="center"/>
          </w:tcPr>
          <w:p>
            <w:pPr>
              <w:jc w:val="center"/>
            </w:pP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绩效目标合理性</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3</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项目所设定的绩效目标是否依据充分，是否符合客观实际，用以反映和考核项目绩效目标与项目实施的相符情况。</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评价要点：</w:t>
            </w:r>
          </w:p>
          <w:p>
            <w:pPr>
              <w:widowControl/>
              <w:spacing w:line="240" w:lineRule="exact"/>
              <w:jc w:val="left"/>
              <w:rPr>
                <w:rFonts w:hint="eastAsia" w:ascii="宋体" w:eastAsia="宋体"/>
                <w:kern w:val="0"/>
                <w:sz w:val="18"/>
                <w:szCs w:val="18"/>
              </w:rPr>
            </w:pPr>
            <w:r>
              <w:rPr>
                <w:rFonts w:hint="eastAsia" w:ascii="宋体" w:eastAsia="宋体"/>
                <w:kern w:val="0"/>
                <w:sz w:val="18"/>
                <w:szCs w:val="18"/>
              </w:rPr>
              <w:t>①是否符合国家相关法律法规、国民经济发展规划和党委政府决策；</w:t>
            </w:r>
          </w:p>
          <w:p>
            <w:pPr>
              <w:widowControl/>
              <w:spacing w:line="240" w:lineRule="exact"/>
              <w:jc w:val="left"/>
              <w:rPr>
                <w:rFonts w:hint="eastAsia" w:ascii="宋体" w:eastAsia="宋体"/>
                <w:kern w:val="0"/>
                <w:sz w:val="18"/>
                <w:szCs w:val="18"/>
              </w:rPr>
            </w:pPr>
            <w:r>
              <w:rPr>
                <w:rFonts w:hint="eastAsia" w:ascii="宋体" w:eastAsia="宋体"/>
                <w:kern w:val="0"/>
                <w:sz w:val="18"/>
                <w:szCs w:val="18"/>
              </w:rPr>
              <w:t>②是否与项目单位或委托单位职责密切相关；</w:t>
            </w:r>
          </w:p>
          <w:p>
            <w:pPr>
              <w:widowControl/>
              <w:spacing w:line="240" w:lineRule="exact"/>
              <w:jc w:val="left"/>
              <w:rPr>
                <w:rFonts w:hint="eastAsia" w:ascii="宋体" w:eastAsia="宋体"/>
                <w:kern w:val="0"/>
                <w:sz w:val="18"/>
                <w:szCs w:val="18"/>
              </w:rPr>
            </w:pPr>
            <w:r>
              <w:rPr>
                <w:rFonts w:hint="eastAsia" w:ascii="宋体" w:eastAsia="宋体"/>
                <w:kern w:val="0"/>
                <w:sz w:val="18"/>
                <w:szCs w:val="18"/>
              </w:rPr>
              <w:t>③项目是否为促进事业发展所必需；</w:t>
            </w:r>
          </w:p>
          <w:p>
            <w:pPr>
              <w:widowControl/>
              <w:spacing w:line="240" w:lineRule="exact"/>
              <w:jc w:val="left"/>
              <w:rPr>
                <w:rFonts w:hint="eastAsia" w:ascii="宋体" w:eastAsia="宋体"/>
                <w:kern w:val="0"/>
                <w:sz w:val="18"/>
                <w:szCs w:val="18"/>
              </w:rPr>
            </w:pPr>
            <w:r>
              <w:rPr>
                <w:rFonts w:hint="eastAsia" w:ascii="宋体" w:eastAsia="宋体"/>
                <w:kern w:val="0"/>
                <w:sz w:val="18"/>
                <w:szCs w:val="18"/>
              </w:rPr>
              <w:t>④项目预期产出效益和效果是否符合正常的业绩水平。</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49" w:hRule="atLeast"/>
          <w:tblCellSpacing w:w="0" w:type="dxa"/>
          <w:jc w:val="center"/>
        </w:trPr>
        <w:tc>
          <w:tcPr>
            <w:tcW w:w="593" w:type="dxa"/>
            <w:vMerge w:val="continue"/>
            <w:tcBorders>
              <w:tl2br w:val="nil"/>
              <w:tr2bl w:val="nil"/>
            </w:tcBorders>
            <w:noWrap w:val="0"/>
            <w:vAlign w:val="center"/>
          </w:tcPr>
          <w:p>
            <w:pPr>
              <w:jc w:val="center"/>
            </w:pPr>
          </w:p>
        </w:tc>
        <w:tc>
          <w:tcPr>
            <w:tcW w:w="719" w:type="dxa"/>
            <w:vMerge w:val="continue"/>
            <w:tcBorders>
              <w:tl2br w:val="nil"/>
              <w:tr2bl w:val="nil"/>
            </w:tcBorders>
            <w:noWrap w:val="0"/>
            <w:vAlign w:val="center"/>
          </w:tcPr>
          <w:p>
            <w:pPr>
              <w:jc w:val="center"/>
            </w:pP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绩效指标明确性</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3</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依据绩效目标设定的绩效指标是否清晰、细化、可衡量等，用以反映和考核项目绩效目标的明细化情况。</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评价要点：</w:t>
            </w:r>
            <w:r>
              <w:rPr>
                <w:rFonts w:hint="eastAsia" w:ascii="宋体" w:eastAsia="宋体"/>
                <w:kern w:val="0"/>
                <w:sz w:val="18"/>
                <w:szCs w:val="18"/>
              </w:rPr>
              <w:br w:type="textWrapping"/>
            </w:r>
            <w:r>
              <w:rPr>
                <w:rFonts w:hint="eastAsia" w:ascii="宋体" w:eastAsia="宋体"/>
                <w:kern w:val="0"/>
                <w:sz w:val="18"/>
                <w:szCs w:val="18"/>
              </w:rPr>
              <w:t>①是否将项目绩效目标细化分解为具体的绩效指标；</w:t>
            </w:r>
            <w:r>
              <w:rPr>
                <w:rFonts w:hint="eastAsia" w:ascii="宋体" w:eastAsia="宋体"/>
                <w:kern w:val="0"/>
                <w:sz w:val="18"/>
                <w:szCs w:val="18"/>
              </w:rPr>
              <w:br w:type="textWrapping"/>
            </w:r>
            <w:r>
              <w:rPr>
                <w:rFonts w:hint="eastAsia" w:ascii="宋体" w:eastAsia="宋体"/>
                <w:kern w:val="0"/>
                <w:sz w:val="18"/>
                <w:szCs w:val="18"/>
              </w:rPr>
              <w:t>②是否通过清晰、可衡量的指标值予以体现；</w:t>
            </w:r>
            <w:r>
              <w:rPr>
                <w:rFonts w:hint="eastAsia" w:ascii="宋体" w:eastAsia="宋体"/>
                <w:kern w:val="0"/>
                <w:sz w:val="18"/>
                <w:szCs w:val="18"/>
              </w:rPr>
              <w:br w:type="textWrapping"/>
            </w:r>
            <w:r>
              <w:rPr>
                <w:rFonts w:hint="eastAsia" w:ascii="宋体" w:eastAsia="宋体"/>
                <w:kern w:val="0"/>
                <w:sz w:val="18"/>
                <w:szCs w:val="18"/>
              </w:rPr>
              <w:t>③是否与项目年度任务数或计划数相对应；</w:t>
            </w:r>
            <w:r>
              <w:rPr>
                <w:rFonts w:hint="eastAsia" w:ascii="宋体" w:eastAsia="宋体"/>
                <w:kern w:val="0"/>
                <w:sz w:val="18"/>
                <w:szCs w:val="18"/>
              </w:rPr>
              <w:br w:type="textWrapping"/>
            </w:r>
            <w:r>
              <w:rPr>
                <w:rFonts w:hint="eastAsia" w:ascii="宋体" w:eastAsia="宋体"/>
                <w:kern w:val="0"/>
                <w:sz w:val="18"/>
                <w:szCs w:val="18"/>
              </w:rPr>
              <w:t>④是否与预算确定的项目投资额或资金量相匹配。</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15" w:hRule="atLeast"/>
          <w:tblCellSpacing w:w="0" w:type="dxa"/>
          <w:jc w:val="center"/>
        </w:trPr>
        <w:tc>
          <w:tcPr>
            <w:tcW w:w="593" w:type="dxa"/>
            <w:vMerge w:val="continue"/>
            <w:tcBorders>
              <w:tl2br w:val="nil"/>
              <w:tr2bl w:val="nil"/>
            </w:tcBorders>
            <w:noWrap w:val="0"/>
            <w:vAlign w:val="center"/>
          </w:tcPr>
          <w:p>
            <w:pPr>
              <w:jc w:val="center"/>
            </w:pPr>
          </w:p>
        </w:tc>
        <w:tc>
          <w:tcPr>
            <w:tcW w:w="719" w:type="dxa"/>
            <w:vMerge w:val="restart"/>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资金</w:t>
            </w:r>
            <w:r>
              <w:rPr>
                <w:rFonts w:hint="eastAsia" w:ascii="宋体" w:eastAsia="宋体"/>
                <w:kern w:val="0"/>
                <w:sz w:val="18"/>
                <w:szCs w:val="18"/>
              </w:rPr>
              <w:br w:type="textWrapping"/>
            </w:r>
            <w:r>
              <w:rPr>
                <w:rFonts w:hint="eastAsia" w:ascii="宋体" w:eastAsia="宋体"/>
                <w:kern w:val="0"/>
                <w:sz w:val="18"/>
                <w:szCs w:val="18"/>
              </w:rPr>
              <w:t>落实</w:t>
            </w: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资金到位率</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lang w:eastAsia="zh-CN"/>
              </w:rPr>
            </w:pPr>
            <w:r>
              <w:rPr>
                <w:rFonts w:hint="eastAsia" w:ascii="宋体"/>
                <w:kern w:val="0"/>
                <w:sz w:val="18"/>
                <w:szCs w:val="18"/>
                <w:lang w:val="en-US" w:eastAsia="zh-CN"/>
              </w:rPr>
              <w:t>5</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实际到位资金与计划投入资金的比率，用以反映和考核资金落实情况对项目实施的总体保障程度。</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资金到位率=（实际到位资金/计划投入资金）×100%。</w:t>
            </w:r>
            <w:r>
              <w:rPr>
                <w:rFonts w:hint="eastAsia" w:ascii="宋体" w:eastAsia="宋体"/>
                <w:kern w:val="0"/>
                <w:sz w:val="18"/>
                <w:szCs w:val="18"/>
              </w:rPr>
              <w:br w:type="textWrapping"/>
            </w:r>
            <w:r>
              <w:rPr>
                <w:rFonts w:hint="eastAsia" w:ascii="宋体" w:eastAsia="宋体"/>
                <w:kern w:val="0"/>
                <w:sz w:val="18"/>
                <w:szCs w:val="18"/>
              </w:rPr>
              <w:t>实际到位资金：一定时期（本年度或项目期）内实际落实到具体项目的资金。</w:t>
            </w:r>
            <w:r>
              <w:rPr>
                <w:rFonts w:hint="eastAsia" w:ascii="宋体" w:eastAsia="宋体"/>
                <w:kern w:val="0"/>
                <w:sz w:val="18"/>
                <w:szCs w:val="18"/>
              </w:rPr>
              <w:br w:type="textWrapping"/>
            </w:r>
            <w:r>
              <w:rPr>
                <w:rFonts w:hint="eastAsia" w:ascii="宋体" w:eastAsia="宋体"/>
                <w:kern w:val="0"/>
                <w:sz w:val="18"/>
                <w:szCs w:val="18"/>
              </w:rPr>
              <w:t>计划投入资金：一定时期（本年度或项目期）内计划投入到具体项目的资金。</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15" w:hRule="atLeast"/>
          <w:tblCellSpacing w:w="0" w:type="dxa"/>
          <w:jc w:val="center"/>
        </w:trPr>
        <w:tc>
          <w:tcPr>
            <w:tcW w:w="593" w:type="dxa"/>
            <w:vMerge w:val="continue"/>
            <w:tcBorders>
              <w:tl2br w:val="nil"/>
              <w:tr2bl w:val="nil"/>
            </w:tcBorders>
            <w:noWrap w:val="0"/>
            <w:vAlign w:val="center"/>
          </w:tcPr>
          <w:p>
            <w:pPr>
              <w:jc w:val="center"/>
            </w:pPr>
          </w:p>
        </w:tc>
        <w:tc>
          <w:tcPr>
            <w:tcW w:w="719" w:type="dxa"/>
            <w:vMerge w:val="continue"/>
            <w:tcBorders>
              <w:tl2br w:val="nil"/>
              <w:tr2bl w:val="nil"/>
            </w:tcBorders>
            <w:noWrap w:val="0"/>
            <w:vAlign w:val="center"/>
          </w:tcPr>
          <w:p>
            <w:pPr>
              <w:jc w:val="center"/>
            </w:pP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到位及时率</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lang w:eastAsia="zh-CN"/>
              </w:rPr>
            </w:pPr>
            <w:r>
              <w:rPr>
                <w:rFonts w:hint="eastAsia" w:ascii="宋体"/>
                <w:kern w:val="0"/>
                <w:sz w:val="18"/>
                <w:szCs w:val="18"/>
                <w:lang w:val="en-US" w:eastAsia="zh-CN"/>
              </w:rPr>
              <w:t>2</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及时到位资金与应到位资金的比率，用以反映和考核项目资金落实的及时性程度。</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到位及时率=（及时到位资金/应到位资金）×100%。</w:t>
            </w:r>
            <w:r>
              <w:rPr>
                <w:rFonts w:hint="eastAsia" w:ascii="宋体" w:eastAsia="宋体"/>
                <w:kern w:val="0"/>
                <w:sz w:val="18"/>
                <w:szCs w:val="18"/>
              </w:rPr>
              <w:br w:type="textWrapping"/>
            </w:r>
            <w:r>
              <w:rPr>
                <w:rFonts w:hint="eastAsia" w:ascii="宋体" w:eastAsia="宋体"/>
                <w:kern w:val="0"/>
                <w:sz w:val="18"/>
                <w:szCs w:val="18"/>
              </w:rPr>
              <w:t>及时到位资金：截至规定时点实际落实到具体项目的资金。</w:t>
            </w:r>
            <w:r>
              <w:rPr>
                <w:rFonts w:hint="eastAsia" w:ascii="宋体" w:eastAsia="宋体"/>
                <w:kern w:val="0"/>
                <w:sz w:val="18"/>
                <w:szCs w:val="18"/>
              </w:rPr>
              <w:br w:type="textWrapping"/>
            </w:r>
            <w:r>
              <w:rPr>
                <w:rFonts w:hint="eastAsia" w:ascii="宋体" w:eastAsia="宋体"/>
                <w:kern w:val="0"/>
                <w:sz w:val="18"/>
                <w:szCs w:val="18"/>
              </w:rPr>
              <w:t>应到位资金：按照合同或项目进度要求截至规定时点应落实到具体项目的资金。</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901" w:hRule="atLeast"/>
          <w:tblCellSpacing w:w="0" w:type="dxa"/>
          <w:jc w:val="center"/>
        </w:trPr>
        <w:tc>
          <w:tcPr>
            <w:tcW w:w="593" w:type="dxa"/>
            <w:vMerge w:val="restart"/>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过</w:t>
            </w:r>
          </w:p>
          <w:p>
            <w:pPr>
              <w:widowControl/>
              <w:spacing w:line="240" w:lineRule="exact"/>
              <w:jc w:val="center"/>
              <w:rPr>
                <w:rFonts w:hint="eastAsia" w:ascii="宋体" w:eastAsia="宋体"/>
                <w:kern w:val="0"/>
                <w:sz w:val="18"/>
                <w:szCs w:val="18"/>
              </w:rPr>
            </w:pPr>
          </w:p>
          <w:p>
            <w:pPr>
              <w:widowControl/>
              <w:spacing w:line="240" w:lineRule="exact"/>
              <w:jc w:val="center"/>
              <w:rPr>
                <w:rFonts w:hint="eastAsia" w:ascii="宋体" w:eastAsia="宋体"/>
                <w:kern w:val="0"/>
                <w:sz w:val="18"/>
                <w:szCs w:val="18"/>
              </w:rPr>
            </w:pPr>
            <w:r>
              <w:rPr>
                <w:rFonts w:hint="eastAsia" w:ascii="宋体" w:eastAsia="宋体"/>
                <w:kern w:val="0"/>
                <w:sz w:val="18"/>
                <w:szCs w:val="18"/>
              </w:rPr>
              <w:t>程</w:t>
            </w:r>
          </w:p>
        </w:tc>
        <w:tc>
          <w:tcPr>
            <w:tcW w:w="719" w:type="dxa"/>
            <w:vMerge w:val="restart"/>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业务</w:t>
            </w:r>
            <w:r>
              <w:rPr>
                <w:rFonts w:hint="eastAsia" w:ascii="宋体" w:eastAsia="宋体"/>
                <w:kern w:val="0"/>
                <w:sz w:val="18"/>
                <w:szCs w:val="18"/>
              </w:rPr>
              <w:br w:type="textWrapping"/>
            </w:r>
            <w:r>
              <w:rPr>
                <w:rFonts w:hint="eastAsia" w:ascii="宋体" w:eastAsia="宋体"/>
                <w:kern w:val="0"/>
                <w:sz w:val="18"/>
                <w:szCs w:val="18"/>
              </w:rPr>
              <w:t>管理</w:t>
            </w: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管理制度健全性</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2</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项目单位的业务管理制度是否健全，用以反映和考核业务管理制度对项目顺利实施的保障情况。</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评价要点：</w:t>
            </w:r>
            <w:r>
              <w:rPr>
                <w:rFonts w:hint="eastAsia" w:ascii="宋体" w:eastAsia="宋体"/>
                <w:kern w:val="0"/>
                <w:sz w:val="18"/>
                <w:szCs w:val="18"/>
              </w:rPr>
              <w:br w:type="textWrapping"/>
            </w:r>
            <w:r>
              <w:rPr>
                <w:rFonts w:hint="eastAsia" w:ascii="宋体" w:eastAsia="宋体"/>
                <w:kern w:val="0"/>
                <w:sz w:val="18"/>
                <w:szCs w:val="18"/>
              </w:rPr>
              <w:t>①是否已制定或具有相应的业务管理制度；</w:t>
            </w:r>
            <w:r>
              <w:rPr>
                <w:rFonts w:hint="eastAsia" w:ascii="宋体" w:eastAsia="宋体"/>
                <w:kern w:val="0"/>
                <w:sz w:val="18"/>
                <w:szCs w:val="18"/>
              </w:rPr>
              <w:br w:type="textWrapping"/>
            </w:r>
            <w:r>
              <w:rPr>
                <w:rFonts w:hint="eastAsia" w:ascii="宋体" w:eastAsia="宋体"/>
                <w:kern w:val="0"/>
                <w:sz w:val="18"/>
                <w:szCs w:val="18"/>
              </w:rPr>
              <w:t>②业务管理制度是否合法、合规、完整。</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794" w:hRule="atLeast"/>
          <w:tblCellSpacing w:w="0" w:type="dxa"/>
          <w:jc w:val="center"/>
        </w:trPr>
        <w:tc>
          <w:tcPr>
            <w:tcW w:w="593" w:type="dxa"/>
            <w:vMerge w:val="continue"/>
            <w:tcBorders>
              <w:tl2br w:val="nil"/>
              <w:tr2bl w:val="nil"/>
            </w:tcBorders>
            <w:noWrap w:val="0"/>
            <w:vAlign w:val="center"/>
          </w:tcPr>
          <w:p>
            <w:pPr>
              <w:jc w:val="center"/>
            </w:pPr>
          </w:p>
        </w:tc>
        <w:tc>
          <w:tcPr>
            <w:tcW w:w="719" w:type="dxa"/>
            <w:vMerge w:val="continue"/>
            <w:tcBorders>
              <w:tl2br w:val="nil"/>
              <w:tr2bl w:val="nil"/>
            </w:tcBorders>
            <w:noWrap w:val="0"/>
            <w:vAlign w:val="center"/>
          </w:tcPr>
          <w:p>
            <w:pPr>
              <w:jc w:val="center"/>
            </w:pP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制度执行有效性</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2</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项目实施是否符合相关业务管理规定，用以反映和考核业务管理制度的有效执行情况。</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评价要点：</w:t>
            </w:r>
            <w:r>
              <w:rPr>
                <w:rFonts w:hint="eastAsia" w:ascii="宋体" w:eastAsia="宋体"/>
                <w:kern w:val="0"/>
                <w:sz w:val="18"/>
                <w:szCs w:val="18"/>
              </w:rPr>
              <w:br w:type="textWrapping"/>
            </w:r>
            <w:r>
              <w:rPr>
                <w:rFonts w:hint="eastAsia" w:ascii="宋体" w:eastAsia="宋体"/>
                <w:kern w:val="0"/>
                <w:sz w:val="18"/>
                <w:szCs w:val="18"/>
              </w:rPr>
              <w:t>①是否遵守相关法律法规和业务管理规定；</w:t>
            </w:r>
            <w:r>
              <w:rPr>
                <w:rFonts w:hint="eastAsia" w:ascii="宋体" w:eastAsia="宋体"/>
                <w:kern w:val="0"/>
                <w:sz w:val="18"/>
                <w:szCs w:val="18"/>
              </w:rPr>
              <w:br w:type="textWrapping"/>
            </w:r>
            <w:r>
              <w:rPr>
                <w:rFonts w:hint="eastAsia" w:ascii="宋体" w:eastAsia="宋体"/>
                <w:kern w:val="0"/>
                <w:sz w:val="18"/>
                <w:szCs w:val="18"/>
              </w:rPr>
              <w:t>②项目调整及支出调整手续是否完备；</w:t>
            </w:r>
            <w:r>
              <w:rPr>
                <w:rFonts w:hint="eastAsia" w:ascii="宋体" w:eastAsia="宋体"/>
                <w:kern w:val="0"/>
                <w:sz w:val="18"/>
                <w:szCs w:val="18"/>
              </w:rPr>
              <w:br w:type="textWrapping"/>
            </w:r>
            <w:r>
              <w:rPr>
                <w:rFonts w:hint="eastAsia" w:ascii="宋体" w:eastAsia="宋体"/>
                <w:kern w:val="0"/>
                <w:sz w:val="18"/>
                <w:szCs w:val="18"/>
              </w:rPr>
              <w:t>③项目合同书、验收报告、技术鉴定等资料是否齐全并及时归档；</w:t>
            </w:r>
            <w:r>
              <w:rPr>
                <w:rFonts w:hint="eastAsia" w:ascii="宋体" w:eastAsia="宋体"/>
                <w:kern w:val="0"/>
                <w:sz w:val="18"/>
                <w:szCs w:val="18"/>
              </w:rPr>
              <w:br w:type="textWrapping"/>
            </w:r>
            <w:r>
              <w:rPr>
                <w:rFonts w:hint="eastAsia" w:ascii="宋体" w:eastAsia="宋体"/>
                <w:kern w:val="0"/>
                <w:sz w:val="18"/>
                <w:szCs w:val="18"/>
              </w:rPr>
              <w:t>④项目实施的人员条件、场地设备、信息支撑等是否落实到位。</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81" w:hRule="atLeast"/>
          <w:tblCellSpacing w:w="0" w:type="dxa"/>
          <w:jc w:val="center"/>
        </w:trPr>
        <w:tc>
          <w:tcPr>
            <w:tcW w:w="593" w:type="dxa"/>
            <w:vMerge w:val="continue"/>
            <w:tcBorders>
              <w:tl2br w:val="nil"/>
              <w:tr2bl w:val="nil"/>
            </w:tcBorders>
            <w:noWrap w:val="0"/>
            <w:vAlign w:val="center"/>
          </w:tcPr>
          <w:p>
            <w:pPr>
              <w:jc w:val="center"/>
            </w:pPr>
          </w:p>
        </w:tc>
        <w:tc>
          <w:tcPr>
            <w:tcW w:w="719" w:type="dxa"/>
            <w:vMerge w:val="continue"/>
            <w:tcBorders>
              <w:tl2br w:val="nil"/>
              <w:tr2bl w:val="nil"/>
            </w:tcBorders>
            <w:noWrap w:val="0"/>
            <w:vAlign w:val="center"/>
          </w:tcPr>
          <w:p>
            <w:pPr>
              <w:jc w:val="center"/>
            </w:pP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项目质量可控性</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lang w:eastAsia="zh-CN"/>
              </w:rPr>
            </w:pPr>
            <w:r>
              <w:rPr>
                <w:rFonts w:hint="eastAsia" w:ascii="宋体"/>
                <w:kern w:val="0"/>
                <w:sz w:val="18"/>
                <w:szCs w:val="18"/>
                <w:lang w:val="en-US" w:eastAsia="zh-CN"/>
              </w:rPr>
              <w:t>4</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项目单位是否为达到项目质量要求而采取了必需的措施,用以反映和考核项目单位对项目质量的控制情况。</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评价要点：</w:t>
            </w:r>
            <w:r>
              <w:rPr>
                <w:rFonts w:hint="eastAsia" w:ascii="宋体" w:eastAsia="宋体"/>
                <w:kern w:val="0"/>
                <w:sz w:val="18"/>
                <w:szCs w:val="18"/>
              </w:rPr>
              <w:br w:type="textWrapping"/>
            </w:r>
            <w:r>
              <w:rPr>
                <w:rFonts w:hint="eastAsia" w:ascii="宋体" w:eastAsia="宋体"/>
                <w:kern w:val="0"/>
                <w:sz w:val="18"/>
                <w:szCs w:val="18"/>
              </w:rPr>
              <w:t>①是否已制定或具有相应的项目质量要求或标准；</w:t>
            </w:r>
            <w:r>
              <w:rPr>
                <w:rFonts w:hint="eastAsia" w:ascii="宋体" w:eastAsia="宋体"/>
                <w:kern w:val="0"/>
                <w:sz w:val="18"/>
                <w:szCs w:val="18"/>
              </w:rPr>
              <w:br w:type="textWrapping"/>
            </w:r>
            <w:r>
              <w:rPr>
                <w:rFonts w:hint="eastAsia" w:ascii="宋体" w:eastAsia="宋体"/>
                <w:kern w:val="0"/>
                <w:sz w:val="18"/>
                <w:szCs w:val="18"/>
              </w:rPr>
              <w:t>②是否采取了相应的项目质量检查、验收等必需的控制措施或手段。</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080" w:hRule="atLeast"/>
          <w:tblCellSpacing w:w="0" w:type="dxa"/>
          <w:jc w:val="center"/>
        </w:trPr>
        <w:tc>
          <w:tcPr>
            <w:tcW w:w="593" w:type="dxa"/>
            <w:vMerge w:val="restart"/>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过</w:t>
            </w:r>
          </w:p>
          <w:p>
            <w:pPr>
              <w:widowControl/>
              <w:spacing w:line="240" w:lineRule="exact"/>
              <w:jc w:val="center"/>
              <w:rPr>
                <w:rFonts w:hint="eastAsia" w:ascii="宋体" w:eastAsia="宋体"/>
                <w:kern w:val="0"/>
                <w:sz w:val="18"/>
                <w:szCs w:val="18"/>
              </w:rPr>
            </w:pPr>
          </w:p>
          <w:p>
            <w:pPr>
              <w:widowControl/>
              <w:spacing w:line="240" w:lineRule="exact"/>
              <w:jc w:val="center"/>
              <w:rPr>
                <w:rFonts w:hint="eastAsia" w:ascii="宋体" w:eastAsia="宋体"/>
                <w:kern w:val="0"/>
                <w:sz w:val="18"/>
                <w:szCs w:val="18"/>
              </w:rPr>
            </w:pPr>
            <w:r>
              <w:rPr>
                <w:rFonts w:hint="eastAsia" w:ascii="宋体" w:eastAsia="宋体"/>
                <w:kern w:val="0"/>
                <w:sz w:val="18"/>
                <w:szCs w:val="18"/>
              </w:rPr>
              <w:t>程</w:t>
            </w:r>
          </w:p>
        </w:tc>
        <w:tc>
          <w:tcPr>
            <w:tcW w:w="719" w:type="dxa"/>
            <w:vMerge w:val="restart"/>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财务</w:t>
            </w:r>
            <w:r>
              <w:rPr>
                <w:rFonts w:hint="eastAsia" w:ascii="宋体" w:eastAsia="宋体"/>
                <w:kern w:val="0"/>
                <w:sz w:val="18"/>
                <w:szCs w:val="18"/>
              </w:rPr>
              <w:br w:type="textWrapping"/>
            </w:r>
            <w:r>
              <w:rPr>
                <w:rFonts w:hint="eastAsia" w:ascii="宋体" w:eastAsia="宋体"/>
                <w:kern w:val="0"/>
                <w:sz w:val="18"/>
                <w:szCs w:val="18"/>
              </w:rPr>
              <w:t>管理</w:t>
            </w: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管理制度健全性</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2</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项目单位的财务制度是否健全，用以反映和考核财务管理制度对资金规范、安全运行的保障情况。</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评价要点：</w:t>
            </w:r>
            <w:r>
              <w:rPr>
                <w:rFonts w:hint="eastAsia" w:ascii="宋体" w:eastAsia="宋体"/>
                <w:kern w:val="0"/>
                <w:sz w:val="18"/>
                <w:szCs w:val="18"/>
              </w:rPr>
              <w:br w:type="textWrapping"/>
            </w:r>
            <w:r>
              <w:rPr>
                <w:rFonts w:hint="eastAsia" w:ascii="宋体" w:eastAsia="宋体"/>
                <w:kern w:val="0"/>
                <w:sz w:val="18"/>
                <w:szCs w:val="18"/>
              </w:rPr>
              <w:t>①是否已制定或具有相应的项目资金管理办法；</w:t>
            </w:r>
            <w:r>
              <w:rPr>
                <w:rFonts w:hint="eastAsia" w:ascii="宋体" w:eastAsia="宋体"/>
                <w:kern w:val="0"/>
                <w:sz w:val="18"/>
                <w:szCs w:val="18"/>
              </w:rPr>
              <w:br w:type="textWrapping"/>
            </w:r>
            <w:r>
              <w:rPr>
                <w:rFonts w:hint="eastAsia" w:ascii="宋体" w:eastAsia="宋体"/>
                <w:kern w:val="0"/>
                <w:sz w:val="18"/>
                <w:szCs w:val="18"/>
              </w:rPr>
              <w:t>②项目资金管理办法是否符合相关财务会计制度的规定。</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2520" w:hRule="atLeast"/>
          <w:tblCellSpacing w:w="0" w:type="dxa"/>
          <w:jc w:val="center"/>
        </w:trPr>
        <w:tc>
          <w:tcPr>
            <w:tcW w:w="593" w:type="dxa"/>
            <w:vMerge w:val="continue"/>
            <w:tcBorders>
              <w:tl2br w:val="nil"/>
              <w:tr2bl w:val="nil"/>
            </w:tcBorders>
            <w:noWrap w:val="0"/>
            <w:vAlign w:val="center"/>
          </w:tcPr>
          <w:p>
            <w:pPr>
              <w:jc w:val="center"/>
            </w:pPr>
          </w:p>
        </w:tc>
        <w:tc>
          <w:tcPr>
            <w:tcW w:w="719" w:type="dxa"/>
            <w:vMerge w:val="continue"/>
            <w:tcBorders>
              <w:tl2br w:val="nil"/>
              <w:tr2bl w:val="nil"/>
            </w:tcBorders>
            <w:noWrap w:val="0"/>
            <w:vAlign w:val="center"/>
          </w:tcPr>
          <w:p>
            <w:pPr>
              <w:jc w:val="center"/>
            </w:pP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资金使用合规性</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10</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项目资金使用是否符合相关的财务管理制度规定，用以反映和考核项目资金的规范运行情况。</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评价要点：</w:t>
            </w:r>
            <w:r>
              <w:rPr>
                <w:rFonts w:hint="eastAsia" w:ascii="宋体" w:eastAsia="宋体"/>
                <w:kern w:val="0"/>
                <w:sz w:val="18"/>
                <w:szCs w:val="18"/>
              </w:rPr>
              <w:br w:type="textWrapping"/>
            </w:r>
            <w:r>
              <w:rPr>
                <w:rFonts w:hint="eastAsia" w:ascii="宋体" w:eastAsia="宋体"/>
                <w:kern w:val="0"/>
                <w:sz w:val="18"/>
                <w:szCs w:val="18"/>
              </w:rPr>
              <w:t>①是否符合国家财经法规和财务管理制度以及有关专项资金管理办法的规定；</w:t>
            </w:r>
            <w:r>
              <w:rPr>
                <w:rFonts w:hint="eastAsia" w:ascii="宋体" w:eastAsia="宋体"/>
                <w:kern w:val="0"/>
                <w:sz w:val="18"/>
                <w:szCs w:val="18"/>
              </w:rPr>
              <w:br w:type="textWrapping"/>
            </w:r>
            <w:r>
              <w:rPr>
                <w:rFonts w:hint="eastAsia" w:ascii="宋体" w:eastAsia="宋体"/>
                <w:kern w:val="0"/>
                <w:sz w:val="18"/>
                <w:szCs w:val="18"/>
              </w:rPr>
              <w:t>②资金的拨付是否有完整的审批程序和手续；</w:t>
            </w:r>
            <w:r>
              <w:rPr>
                <w:rFonts w:hint="eastAsia" w:ascii="宋体" w:eastAsia="宋体"/>
                <w:kern w:val="0"/>
                <w:sz w:val="18"/>
                <w:szCs w:val="18"/>
              </w:rPr>
              <w:br w:type="textWrapping"/>
            </w:r>
            <w:r>
              <w:rPr>
                <w:rFonts w:hint="eastAsia" w:ascii="宋体" w:eastAsia="宋体"/>
                <w:kern w:val="0"/>
                <w:sz w:val="18"/>
                <w:szCs w:val="18"/>
              </w:rPr>
              <w:t>③项目的重大开支是否经过评估认证；</w:t>
            </w:r>
            <w:r>
              <w:rPr>
                <w:rFonts w:hint="eastAsia" w:ascii="宋体" w:eastAsia="宋体"/>
                <w:kern w:val="0"/>
                <w:sz w:val="18"/>
                <w:szCs w:val="18"/>
              </w:rPr>
              <w:br w:type="textWrapping"/>
            </w:r>
            <w:r>
              <w:rPr>
                <w:rFonts w:hint="eastAsia" w:ascii="宋体" w:eastAsia="宋体"/>
                <w:kern w:val="0"/>
                <w:sz w:val="18"/>
                <w:szCs w:val="18"/>
              </w:rPr>
              <w:t>④是否符合项目预算批复或合同规定的用途；</w:t>
            </w:r>
            <w:r>
              <w:rPr>
                <w:rFonts w:hint="eastAsia" w:ascii="宋体" w:eastAsia="宋体"/>
                <w:kern w:val="0"/>
                <w:sz w:val="18"/>
                <w:szCs w:val="18"/>
              </w:rPr>
              <w:br w:type="textWrapping"/>
            </w:r>
            <w:r>
              <w:rPr>
                <w:rFonts w:hint="eastAsia" w:ascii="宋体" w:eastAsia="宋体"/>
                <w:kern w:val="0"/>
                <w:sz w:val="18"/>
                <w:szCs w:val="18"/>
              </w:rPr>
              <w:t>⑤是否存在截留、挤占、挪用、虚列支出等情况。</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22" w:hRule="atLeast"/>
          <w:tblCellSpacing w:w="0" w:type="dxa"/>
          <w:jc w:val="center"/>
        </w:trPr>
        <w:tc>
          <w:tcPr>
            <w:tcW w:w="593" w:type="dxa"/>
            <w:vMerge w:val="continue"/>
            <w:tcBorders>
              <w:tl2br w:val="nil"/>
              <w:tr2bl w:val="nil"/>
            </w:tcBorders>
            <w:noWrap w:val="0"/>
            <w:vAlign w:val="center"/>
          </w:tcPr>
          <w:p>
            <w:pPr>
              <w:jc w:val="center"/>
            </w:pPr>
          </w:p>
        </w:tc>
        <w:tc>
          <w:tcPr>
            <w:tcW w:w="719" w:type="dxa"/>
            <w:vMerge w:val="continue"/>
            <w:tcBorders>
              <w:tl2br w:val="nil"/>
              <w:tr2bl w:val="nil"/>
            </w:tcBorders>
            <w:noWrap w:val="0"/>
            <w:vAlign w:val="center"/>
          </w:tcPr>
          <w:p>
            <w:pPr>
              <w:jc w:val="center"/>
            </w:pP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财务监控有效性</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lang w:eastAsia="zh-CN"/>
              </w:rPr>
            </w:pPr>
            <w:r>
              <w:rPr>
                <w:rFonts w:hint="eastAsia" w:ascii="宋体"/>
                <w:kern w:val="0"/>
                <w:sz w:val="18"/>
                <w:szCs w:val="18"/>
                <w:lang w:val="en-US" w:eastAsia="zh-CN"/>
              </w:rPr>
              <w:t>5</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项目单位是否为保障资金的安全、规范运行而采取了必要的监控措施，用以反映和考核项目单位对资金运行的控制情况。</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评价要点：</w:t>
            </w:r>
            <w:r>
              <w:rPr>
                <w:rFonts w:hint="eastAsia" w:ascii="宋体" w:eastAsia="宋体"/>
                <w:kern w:val="0"/>
                <w:sz w:val="18"/>
                <w:szCs w:val="18"/>
              </w:rPr>
              <w:br w:type="textWrapping"/>
            </w:r>
            <w:r>
              <w:rPr>
                <w:rFonts w:hint="eastAsia" w:ascii="宋体" w:eastAsia="宋体"/>
                <w:kern w:val="0"/>
                <w:sz w:val="18"/>
                <w:szCs w:val="18"/>
              </w:rPr>
              <w:t>①是否已制定或具有相应的监控机制；</w:t>
            </w:r>
            <w:r>
              <w:rPr>
                <w:rFonts w:hint="eastAsia" w:ascii="宋体" w:eastAsia="宋体"/>
                <w:kern w:val="0"/>
                <w:sz w:val="18"/>
                <w:szCs w:val="18"/>
              </w:rPr>
              <w:br w:type="textWrapping"/>
            </w:r>
            <w:r>
              <w:rPr>
                <w:rFonts w:hint="eastAsia" w:ascii="宋体" w:eastAsia="宋体"/>
                <w:kern w:val="0"/>
                <w:sz w:val="18"/>
                <w:szCs w:val="18"/>
              </w:rPr>
              <w:t>②是否采取了相应的财务检查等必要的监控措施或手段。</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908" w:hRule="atLeast"/>
          <w:tblCellSpacing w:w="0" w:type="dxa"/>
          <w:jc w:val="center"/>
        </w:trPr>
        <w:tc>
          <w:tcPr>
            <w:tcW w:w="593" w:type="dxa"/>
            <w:vMerge w:val="restart"/>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产</w:t>
            </w:r>
          </w:p>
          <w:p>
            <w:pPr>
              <w:widowControl/>
              <w:spacing w:line="240" w:lineRule="exact"/>
              <w:jc w:val="center"/>
              <w:rPr>
                <w:rFonts w:hint="eastAsia" w:ascii="宋体" w:eastAsia="宋体"/>
                <w:kern w:val="0"/>
                <w:sz w:val="18"/>
                <w:szCs w:val="18"/>
              </w:rPr>
            </w:pPr>
          </w:p>
          <w:p>
            <w:pPr>
              <w:widowControl/>
              <w:spacing w:line="240" w:lineRule="exact"/>
              <w:jc w:val="center"/>
              <w:rPr>
                <w:rFonts w:hint="eastAsia" w:ascii="宋体" w:eastAsia="宋体"/>
                <w:kern w:val="0"/>
                <w:sz w:val="18"/>
                <w:szCs w:val="18"/>
              </w:rPr>
            </w:pPr>
            <w:r>
              <w:rPr>
                <w:rFonts w:hint="eastAsia" w:ascii="宋体" w:eastAsia="宋体"/>
                <w:kern w:val="0"/>
                <w:sz w:val="18"/>
                <w:szCs w:val="18"/>
              </w:rPr>
              <w:t>出</w:t>
            </w:r>
          </w:p>
        </w:tc>
        <w:tc>
          <w:tcPr>
            <w:tcW w:w="719" w:type="dxa"/>
            <w:vMerge w:val="restart"/>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项目</w:t>
            </w:r>
            <w:r>
              <w:rPr>
                <w:rFonts w:hint="eastAsia" w:ascii="宋体" w:eastAsia="宋体"/>
                <w:kern w:val="0"/>
                <w:sz w:val="18"/>
                <w:szCs w:val="18"/>
              </w:rPr>
              <w:br w:type="textWrapping"/>
            </w:r>
            <w:r>
              <w:rPr>
                <w:rFonts w:hint="eastAsia" w:ascii="宋体" w:eastAsia="宋体"/>
                <w:kern w:val="0"/>
                <w:sz w:val="18"/>
                <w:szCs w:val="18"/>
              </w:rPr>
              <w:t>产出</w:t>
            </w: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实际完成率</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10</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项目实施的实际产出数与计划产出数的比率，用以反映和考核项目产出数量目标的实现程度。</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实际完成率=（实际产出数/计划产出数）×100%。</w:t>
            </w:r>
            <w:r>
              <w:rPr>
                <w:rFonts w:hint="eastAsia" w:ascii="宋体" w:eastAsia="宋体"/>
                <w:kern w:val="0"/>
                <w:sz w:val="18"/>
                <w:szCs w:val="18"/>
              </w:rPr>
              <w:br w:type="textWrapping"/>
            </w:r>
            <w:r>
              <w:rPr>
                <w:rFonts w:hint="eastAsia" w:ascii="宋体" w:eastAsia="宋体"/>
                <w:kern w:val="0"/>
                <w:sz w:val="18"/>
                <w:szCs w:val="18"/>
              </w:rPr>
              <w:t>实际产出数：一定时期（本年度或项目期）内项目实际产出的产品或提供的服务数量。</w:t>
            </w:r>
            <w:r>
              <w:rPr>
                <w:rFonts w:hint="eastAsia" w:ascii="宋体" w:eastAsia="宋体"/>
                <w:kern w:val="0"/>
                <w:sz w:val="18"/>
                <w:szCs w:val="18"/>
              </w:rPr>
              <w:br w:type="textWrapping"/>
            </w:r>
            <w:r>
              <w:rPr>
                <w:rFonts w:hint="eastAsia" w:ascii="宋体" w:eastAsia="宋体"/>
                <w:kern w:val="0"/>
                <w:sz w:val="18"/>
                <w:szCs w:val="18"/>
              </w:rPr>
              <w:t>计划产出数：项目绩效目标确定的在一定时期（本年度或项目期）内计划产出的产品或提供的服务数量。</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80" w:hRule="atLeast"/>
          <w:tblCellSpacing w:w="0" w:type="dxa"/>
          <w:jc w:val="center"/>
        </w:trPr>
        <w:tc>
          <w:tcPr>
            <w:tcW w:w="593" w:type="dxa"/>
            <w:vMerge w:val="continue"/>
            <w:tcBorders>
              <w:tl2br w:val="nil"/>
              <w:tr2bl w:val="nil"/>
            </w:tcBorders>
            <w:noWrap w:val="0"/>
            <w:vAlign w:val="center"/>
          </w:tcPr>
          <w:p>
            <w:pPr>
              <w:jc w:val="center"/>
            </w:pPr>
          </w:p>
        </w:tc>
        <w:tc>
          <w:tcPr>
            <w:tcW w:w="719" w:type="dxa"/>
            <w:vMerge w:val="continue"/>
            <w:tcBorders>
              <w:tl2br w:val="nil"/>
              <w:tr2bl w:val="nil"/>
            </w:tcBorders>
            <w:noWrap w:val="0"/>
            <w:vAlign w:val="center"/>
          </w:tcPr>
          <w:p>
            <w:pPr>
              <w:jc w:val="center"/>
            </w:pP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完成及时率</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5</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项目实际提前完成时间与计划完成时间的比率，用以反映和考核项目产出时效目标的实现程度。</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完成及时率=[（计划完成时间-实际完成时间）/计划完成时间]×100%。</w:t>
            </w:r>
            <w:r>
              <w:rPr>
                <w:rFonts w:hint="eastAsia" w:ascii="宋体" w:eastAsia="宋体"/>
                <w:kern w:val="0"/>
                <w:sz w:val="18"/>
                <w:szCs w:val="18"/>
              </w:rPr>
              <w:br w:type="textWrapping"/>
            </w:r>
            <w:r>
              <w:rPr>
                <w:rFonts w:hint="eastAsia" w:ascii="宋体" w:eastAsia="宋体"/>
                <w:kern w:val="0"/>
                <w:sz w:val="18"/>
                <w:szCs w:val="18"/>
              </w:rPr>
              <w:t>实际完成时间：项目单位完成该项目实际所耗用的时间。</w:t>
            </w:r>
            <w:r>
              <w:rPr>
                <w:rFonts w:hint="eastAsia" w:ascii="宋体" w:eastAsia="宋体"/>
                <w:kern w:val="0"/>
                <w:sz w:val="18"/>
                <w:szCs w:val="18"/>
              </w:rPr>
              <w:br w:type="textWrapping"/>
            </w:r>
            <w:r>
              <w:rPr>
                <w:rFonts w:hint="eastAsia" w:ascii="宋体" w:eastAsia="宋体"/>
                <w:kern w:val="0"/>
                <w:sz w:val="18"/>
                <w:szCs w:val="18"/>
              </w:rPr>
              <w:t>计划完成时间：按照项目实施计划或相关规定完成该项目所需的时间。</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2124" w:hRule="atLeast"/>
          <w:tblCellSpacing w:w="0" w:type="dxa"/>
          <w:jc w:val="center"/>
        </w:trPr>
        <w:tc>
          <w:tcPr>
            <w:tcW w:w="593" w:type="dxa"/>
            <w:vMerge w:val="continue"/>
            <w:tcBorders>
              <w:tl2br w:val="nil"/>
              <w:tr2bl w:val="nil"/>
            </w:tcBorders>
            <w:noWrap w:val="0"/>
            <w:vAlign w:val="center"/>
          </w:tcPr>
          <w:p>
            <w:pPr>
              <w:jc w:val="center"/>
            </w:pPr>
          </w:p>
        </w:tc>
        <w:tc>
          <w:tcPr>
            <w:tcW w:w="719" w:type="dxa"/>
            <w:vMerge w:val="continue"/>
            <w:tcBorders>
              <w:tl2br w:val="nil"/>
              <w:tr2bl w:val="nil"/>
            </w:tcBorders>
            <w:noWrap w:val="0"/>
            <w:vAlign w:val="center"/>
          </w:tcPr>
          <w:p>
            <w:pPr>
              <w:jc w:val="center"/>
            </w:pP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质量达标率</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10</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项目完成的质量达标产出数与实际产出数的比率，用以反映和考核项目产出质量目标的实现程度。</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质量达标率=（质量达标产出数/实际产出数）×100%。</w:t>
            </w:r>
            <w:r>
              <w:rPr>
                <w:rFonts w:hint="eastAsia" w:ascii="宋体" w:eastAsia="宋体"/>
                <w:kern w:val="0"/>
                <w:sz w:val="18"/>
                <w:szCs w:val="18"/>
              </w:rPr>
              <w:br w:type="textWrapping"/>
            </w:r>
            <w:r>
              <w:rPr>
                <w:rFonts w:hint="eastAsia" w:ascii="宋体" w:eastAsia="宋体"/>
                <w:kern w:val="0"/>
                <w:sz w:val="18"/>
                <w:szCs w:val="18"/>
              </w:rPr>
              <w:t>质量达标产出数：一定时期（本年度或项目期）内实际达到既定质量标准的产品或服务数量。</w:t>
            </w:r>
            <w:r>
              <w:rPr>
                <w:rFonts w:hint="eastAsia" w:ascii="宋体" w:eastAsia="宋体"/>
                <w:kern w:val="0"/>
                <w:sz w:val="18"/>
                <w:szCs w:val="18"/>
              </w:rPr>
              <w:br w:type="textWrapping"/>
            </w:r>
            <w:r>
              <w:rPr>
                <w:rFonts w:hint="eastAsia" w:ascii="宋体" w:eastAsia="宋体"/>
                <w:kern w:val="0"/>
                <w:sz w:val="18"/>
                <w:szCs w:val="18"/>
              </w:rPr>
              <w:t>既定质量标准是指项目单位设立绩效目标时依据计划标准、行业标准、历史标准或其他标准而设定的绩效指标值。</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584" w:hRule="atLeast"/>
          <w:tblCellSpacing w:w="0" w:type="dxa"/>
          <w:jc w:val="center"/>
        </w:trPr>
        <w:tc>
          <w:tcPr>
            <w:tcW w:w="593" w:type="dxa"/>
            <w:vMerge w:val="continue"/>
            <w:tcBorders>
              <w:tl2br w:val="nil"/>
              <w:tr2bl w:val="nil"/>
            </w:tcBorders>
            <w:noWrap w:val="0"/>
            <w:vAlign w:val="center"/>
          </w:tcPr>
          <w:p>
            <w:pPr>
              <w:jc w:val="center"/>
            </w:pPr>
          </w:p>
        </w:tc>
        <w:tc>
          <w:tcPr>
            <w:tcW w:w="719" w:type="dxa"/>
            <w:vMerge w:val="continue"/>
            <w:tcBorders>
              <w:tl2br w:val="nil"/>
              <w:tr2bl w:val="nil"/>
            </w:tcBorders>
            <w:noWrap w:val="0"/>
            <w:vAlign w:val="center"/>
          </w:tcPr>
          <w:p>
            <w:pPr>
              <w:jc w:val="center"/>
            </w:pPr>
          </w:p>
        </w:tc>
        <w:tc>
          <w:tcPr>
            <w:tcW w:w="60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成本节约率</w:t>
            </w:r>
          </w:p>
        </w:tc>
        <w:tc>
          <w:tcPr>
            <w:tcW w:w="671" w:type="dxa"/>
            <w:tcBorders>
              <w:tl2br w:val="nil"/>
              <w:tr2bl w:val="nil"/>
            </w:tcBorders>
            <w:noWrap w:val="0"/>
            <w:vAlign w:val="center"/>
          </w:tcPr>
          <w:p>
            <w:pPr>
              <w:widowControl/>
              <w:spacing w:line="240" w:lineRule="exact"/>
              <w:jc w:val="center"/>
              <w:rPr>
                <w:rFonts w:hint="eastAsia" w:ascii="宋体" w:eastAsia="宋体"/>
                <w:kern w:val="0"/>
                <w:sz w:val="18"/>
                <w:szCs w:val="18"/>
              </w:rPr>
            </w:pPr>
            <w:r>
              <w:rPr>
                <w:rFonts w:hint="eastAsia" w:ascii="宋体" w:eastAsia="宋体"/>
                <w:kern w:val="0"/>
                <w:sz w:val="18"/>
                <w:szCs w:val="18"/>
              </w:rPr>
              <w:t>5</w:t>
            </w:r>
          </w:p>
        </w:tc>
        <w:tc>
          <w:tcPr>
            <w:tcW w:w="2485"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完成项目计划工作目标的实际节约成本与计划成本的比率，用以反映和考核项目的成本节约程度。</w:t>
            </w:r>
          </w:p>
        </w:tc>
        <w:tc>
          <w:tcPr>
            <w:tcW w:w="3876" w:type="dxa"/>
            <w:tcBorders>
              <w:tl2br w:val="nil"/>
              <w:tr2bl w:val="nil"/>
            </w:tcBorders>
            <w:noWrap w:val="0"/>
            <w:vAlign w:val="center"/>
          </w:tcPr>
          <w:p>
            <w:pPr>
              <w:widowControl/>
              <w:spacing w:line="240" w:lineRule="exact"/>
              <w:jc w:val="left"/>
              <w:rPr>
                <w:rFonts w:hint="eastAsia" w:ascii="宋体" w:eastAsia="宋体"/>
                <w:kern w:val="0"/>
                <w:sz w:val="18"/>
                <w:szCs w:val="18"/>
              </w:rPr>
            </w:pPr>
            <w:r>
              <w:rPr>
                <w:rFonts w:hint="eastAsia" w:ascii="宋体" w:eastAsia="宋体"/>
                <w:kern w:val="0"/>
                <w:sz w:val="18"/>
                <w:szCs w:val="18"/>
              </w:rPr>
              <w:t>成本节约率=[（计划成本-实际成本）/计划成本]×100%。</w:t>
            </w:r>
            <w:r>
              <w:rPr>
                <w:rFonts w:hint="eastAsia" w:ascii="宋体" w:eastAsia="宋体"/>
                <w:kern w:val="0"/>
                <w:sz w:val="18"/>
                <w:szCs w:val="18"/>
              </w:rPr>
              <w:br w:type="textWrapping"/>
            </w:r>
            <w:r>
              <w:rPr>
                <w:rFonts w:hint="eastAsia" w:ascii="宋体" w:eastAsia="宋体"/>
                <w:kern w:val="0"/>
                <w:sz w:val="18"/>
                <w:szCs w:val="18"/>
              </w:rPr>
              <w:t>实际成本：项目单位如期、保质、保量完成既定工作目标实际所耗费的支出。</w:t>
            </w:r>
            <w:r>
              <w:rPr>
                <w:rFonts w:hint="eastAsia" w:ascii="宋体" w:eastAsia="宋体"/>
                <w:kern w:val="0"/>
                <w:sz w:val="18"/>
                <w:szCs w:val="18"/>
              </w:rPr>
              <w:br w:type="textWrapping"/>
            </w:r>
            <w:r>
              <w:rPr>
                <w:rFonts w:hint="eastAsia" w:ascii="宋体" w:eastAsia="宋体"/>
                <w:kern w:val="0"/>
                <w:sz w:val="18"/>
                <w:szCs w:val="18"/>
              </w:rPr>
              <w:t>计划成本：项目单位为完成工作目标计划安排的支出，一般以项目预算为参考。</w:t>
            </w:r>
          </w:p>
        </w:tc>
        <w:tc>
          <w:tcPr>
            <w:tcW w:w="720" w:type="dxa"/>
            <w:tcBorders>
              <w:tl2br w:val="nil"/>
              <w:tr2bl w:val="nil"/>
            </w:tcBorders>
            <w:noWrap w:val="0"/>
            <w:vAlign w:val="center"/>
          </w:tcPr>
          <w:p>
            <w:pPr>
              <w:widowControl/>
              <w:spacing w:line="240" w:lineRule="exact"/>
              <w:jc w:val="center"/>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738" w:hRule="atLeast"/>
          <w:tblCellSpacing w:w="0" w:type="dxa"/>
          <w:jc w:val="center"/>
        </w:trPr>
        <w:tc>
          <w:tcPr>
            <w:tcW w:w="59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rPr>
            </w:pPr>
            <w:r>
              <w:rPr>
                <w:rFonts w:hint="eastAsia" w:ascii="宋体" w:eastAsia="宋体"/>
                <w:kern w:val="0"/>
                <w:sz w:val="18"/>
                <w:szCs w:val="18"/>
              </w:rPr>
              <w:t>效</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rPr>
            </w:pPr>
            <w:r>
              <w:rPr>
                <w:rFonts w:hint="eastAsia" w:ascii="宋体" w:eastAsia="宋体"/>
                <w:kern w:val="0"/>
                <w:sz w:val="18"/>
                <w:szCs w:val="18"/>
              </w:rPr>
              <w:t>果</w:t>
            </w:r>
          </w:p>
        </w:tc>
        <w:tc>
          <w:tcPr>
            <w:tcW w:w="71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rPr>
            </w:pPr>
            <w:r>
              <w:rPr>
                <w:rFonts w:hint="eastAsia" w:ascii="宋体" w:eastAsia="宋体"/>
                <w:kern w:val="0"/>
                <w:sz w:val="18"/>
                <w:szCs w:val="18"/>
              </w:rPr>
              <w:t>项目</w:t>
            </w:r>
            <w:r>
              <w:rPr>
                <w:rFonts w:hint="eastAsia" w:ascii="宋体" w:eastAsia="宋体"/>
                <w:kern w:val="0"/>
                <w:sz w:val="18"/>
                <w:szCs w:val="18"/>
              </w:rPr>
              <w:br w:type="textWrapping"/>
            </w:r>
            <w:r>
              <w:rPr>
                <w:rFonts w:hint="eastAsia" w:ascii="宋体" w:eastAsia="宋体"/>
                <w:kern w:val="0"/>
                <w:sz w:val="18"/>
                <w:szCs w:val="18"/>
              </w:rPr>
              <w:t>效益</w:t>
            </w:r>
          </w:p>
        </w:tc>
        <w:tc>
          <w:tcPr>
            <w:tcW w:w="6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rPr>
            </w:pPr>
            <w:r>
              <w:rPr>
                <w:rFonts w:hint="eastAsia" w:ascii="宋体" w:eastAsia="宋体"/>
                <w:kern w:val="0"/>
                <w:sz w:val="18"/>
                <w:szCs w:val="18"/>
              </w:rPr>
              <w:t>经济效益</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lang w:eastAsia="zh-CN"/>
              </w:rPr>
            </w:pPr>
            <w:r>
              <w:rPr>
                <w:rFonts w:hint="eastAsia" w:ascii="宋体" w:eastAsia="宋体"/>
                <w:kern w:val="0"/>
                <w:sz w:val="18"/>
                <w:szCs w:val="18"/>
                <w:lang w:val="en-US" w:eastAsia="zh-CN"/>
              </w:rPr>
              <w:t>5</w:t>
            </w:r>
          </w:p>
        </w:tc>
        <w:tc>
          <w:tcPr>
            <w:tcW w:w="2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eastAsia="宋体"/>
                <w:kern w:val="0"/>
                <w:sz w:val="18"/>
                <w:szCs w:val="18"/>
              </w:rPr>
            </w:pPr>
            <w:r>
              <w:rPr>
                <w:rFonts w:hint="eastAsia" w:ascii="宋体" w:eastAsia="宋体"/>
                <w:kern w:val="0"/>
                <w:sz w:val="18"/>
                <w:szCs w:val="18"/>
              </w:rPr>
              <w:t>项目实施对经济发展所带来的直接或间接影响情况。</w:t>
            </w:r>
          </w:p>
        </w:tc>
        <w:tc>
          <w:tcPr>
            <w:tcW w:w="387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eastAsia="宋体"/>
                <w:kern w:val="0"/>
                <w:sz w:val="18"/>
                <w:szCs w:val="18"/>
              </w:rPr>
            </w:pPr>
            <w:r>
              <w:rPr>
                <w:rFonts w:hint="eastAsia" w:ascii="宋体" w:eastAsia="宋体"/>
                <w:kern w:val="0"/>
                <w:sz w:val="18"/>
                <w:szCs w:val="18"/>
              </w:rPr>
              <w:t>此四项指标为设置项目支出绩效评价指标时必须考虑的共性要素，可根据项目实际并结合绩效目标设立情况有选择的进行设置，并将其细化为相应的个性化指标。</w:t>
            </w:r>
          </w:p>
        </w:tc>
        <w:tc>
          <w:tcPr>
            <w:tcW w:w="7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685" w:hRule="atLeast"/>
          <w:tblCellSpacing w:w="0" w:type="dxa"/>
          <w:jc w:val="center"/>
        </w:trPr>
        <w:tc>
          <w:tcPr>
            <w:tcW w:w="59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pPr>
          </w:p>
        </w:tc>
        <w:tc>
          <w:tcPr>
            <w:tcW w:w="71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pPr>
          </w:p>
        </w:tc>
        <w:tc>
          <w:tcPr>
            <w:tcW w:w="6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rPr>
            </w:pPr>
            <w:r>
              <w:rPr>
                <w:rFonts w:hint="eastAsia" w:ascii="宋体" w:eastAsia="宋体"/>
                <w:kern w:val="0"/>
                <w:sz w:val="18"/>
                <w:szCs w:val="18"/>
              </w:rPr>
              <w:t>社会效益</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rPr>
            </w:pPr>
            <w:r>
              <w:rPr>
                <w:rFonts w:hint="eastAsia" w:ascii="宋体" w:eastAsia="宋体"/>
                <w:kern w:val="0"/>
                <w:sz w:val="18"/>
                <w:szCs w:val="18"/>
              </w:rPr>
              <w:t>10</w:t>
            </w:r>
          </w:p>
        </w:tc>
        <w:tc>
          <w:tcPr>
            <w:tcW w:w="2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eastAsia="宋体"/>
                <w:kern w:val="0"/>
                <w:sz w:val="18"/>
                <w:szCs w:val="18"/>
              </w:rPr>
            </w:pPr>
            <w:r>
              <w:rPr>
                <w:rFonts w:hint="eastAsia" w:ascii="宋体" w:eastAsia="宋体"/>
                <w:kern w:val="0"/>
                <w:sz w:val="18"/>
                <w:szCs w:val="18"/>
              </w:rPr>
              <w:t>项目实施对社会发展所带来的直接或间接影响情况。</w:t>
            </w:r>
          </w:p>
        </w:tc>
        <w:tc>
          <w:tcPr>
            <w:tcW w:w="387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left"/>
              <w:textAlignment w:val="auto"/>
            </w:pPr>
          </w:p>
        </w:tc>
        <w:tc>
          <w:tcPr>
            <w:tcW w:w="7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736" w:hRule="atLeast"/>
          <w:tblCellSpacing w:w="0" w:type="dxa"/>
          <w:jc w:val="center"/>
        </w:trPr>
        <w:tc>
          <w:tcPr>
            <w:tcW w:w="59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pPr>
          </w:p>
        </w:tc>
        <w:tc>
          <w:tcPr>
            <w:tcW w:w="71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pPr>
          </w:p>
        </w:tc>
        <w:tc>
          <w:tcPr>
            <w:tcW w:w="6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rPr>
            </w:pPr>
            <w:r>
              <w:rPr>
                <w:rFonts w:hint="eastAsia" w:ascii="宋体" w:eastAsia="宋体"/>
                <w:kern w:val="0"/>
                <w:sz w:val="18"/>
                <w:szCs w:val="18"/>
              </w:rPr>
              <w:t>生态效益</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lang w:eastAsia="zh-CN"/>
              </w:rPr>
            </w:pPr>
            <w:r>
              <w:rPr>
                <w:rFonts w:hint="eastAsia" w:ascii="宋体" w:eastAsia="宋体"/>
                <w:kern w:val="0"/>
                <w:sz w:val="18"/>
                <w:szCs w:val="18"/>
                <w:lang w:val="en-US" w:eastAsia="zh-CN"/>
              </w:rPr>
              <w:t>5</w:t>
            </w:r>
          </w:p>
        </w:tc>
        <w:tc>
          <w:tcPr>
            <w:tcW w:w="2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eastAsia="宋体"/>
                <w:kern w:val="0"/>
                <w:sz w:val="18"/>
                <w:szCs w:val="18"/>
              </w:rPr>
            </w:pPr>
            <w:r>
              <w:rPr>
                <w:rFonts w:hint="eastAsia" w:ascii="宋体" w:eastAsia="宋体"/>
                <w:kern w:val="0"/>
                <w:sz w:val="18"/>
                <w:szCs w:val="18"/>
              </w:rPr>
              <w:t>项目实施对生态环境所带来的直接或间接影响情况。</w:t>
            </w:r>
          </w:p>
        </w:tc>
        <w:tc>
          <w:tcPr>
            <w:tcW w:w="387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left"/>
              <w:textAlignment w:val="auto"/>
            </w:pPr>
          </w:p>
        </w:tc>
        <w:tc>
          <w:tcPr>
            <w:tcW w:w="7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931" w:hRule="atLeast"/>
          <w:tblCellSpacing w:w="0" w:type="dxa"/>
          <w:jc w:val="center"/>
        </w:trPr>
        <w:tc>
          <w:tcPr>
            <w:tcW w:w="59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pPr>
          </w:p>
        </w:tc>
        <w:tc>
          <w:tcPr>
            <w:tcW w:w="71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pPr>
          </w:p>
        </w:tc>
        <w:tc>
          <w:tcPr>
            <w:tcW w:w="6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rPr>
            </w:pPr>
            <w:r>
              <w:rPr>
                <w:rFonts w:hint="eastAsia" w:ascii="宋体" w:eastAsia="宋体"/>
                <w:kern w:val="0"/>
                <w:sz w:val="18"/>
                <w:szCs w:val="18"/>
              </w:rPr>
              <w:t>可持续影响</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lang w:val="en-US" w:eastAsia="zh-CN"/>
              </w:rPr>
            </w:pPr>
            <w:r>
              <w:rPr>
                <w:rFonts w:hint="eastAsia" w:ascii="宋体" w:eastAsia="宋体"/>
                <w:kern w:val="0"/>
                <w:sz w:val="18"/>
                <w:szCs w:val="18"/>
                <w:lang w:val="en-US" w:eastAsia="zh-CN"/>
              </w:rPr>
              <w:t>5</w:t>
            </w:r>
          </w:p>
        </w:tc>
        <w:tc>
          <w:tcPr>
            <w:tcW w:w="2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eastAsia="宋体"/>
                <w:kern w:val="0"/>
                <w:sz w:val="18"/>
                <w:szCs w:val="18"/>
              </w:rPr>
            </w:pPr>
            <w:r>
              <w:rPr>
                <w:rFonts w:hint="eastAsia" w:ascii="宋体" w:eastAsia="宋体"/>
                <w:kern w:val="0"/>
                <w:sz w:val="18"/>
                <w:szCs w:val="18"/>
              </w:rPr>
              <w:t>项目后续运行及成效发挥的可持续影响情况。</w:t>
            </w:r>
          </w:p>
        </w:tc>
        <w:tc>
          <w:tcPr>
            <w:tcW w:w="387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left"/>
              <w:textAlignment w:val="auto"/>
            </w:pPr>
          </w:p>
        </w:tc>
        <w:tc>
          <w:tcPr>
            <w:tcW w:w="7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56" w:hRule="atLeast"/>
          <w:tblCellSpacing w:w="0" w:type="dxa"/>
          <w:jc w:val="center"/>
        </w:trPr>
        <w:tc>
          <w:tcPr>
            <w:tcW w:w="59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pPr>
          </w:p>
        </w:tc>
        <w:tc>
          <w:tcPr>
            <w:tcW w:w="71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pPr>
          </w:p>
        </w:tc>
        <w:tc>
          <w:tcPr>
            <w:tcW w:w="6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rPr>
            </w:pPr>
            <w:r>
              <w:rPr>
                <w:rFonts w:hint="eastAsia" w:ascii="宋体" w:eastAsia="宋体"/>
                <w:kern w:val="0"/>
                <w:sz w:val="18"/>
                <w:szCs w:val="18"/>
              </w:rPr>
              <w:t>社会公众或服务对象满意度</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lang w:val="en-US" w:eastAsia="zh-CN"/>
              </w:rPr>
            </w:pPr>
            <w:r>
              <w:rPr>
                <w:rFonts w:hint="eastAsia" w:ascii="宋体" w:eastAsia="宋体"/>
                <w:kern w:val="0"/>
                <w:sz w:val="18"/>
                <w:szCs w:val="18"/>
                <w:lang w:val="en-US" w:eastAsia="zh-CN"/>
              </w:rPr>
              <w:t>5</w:t>
            </w:r>
          </w:p>
        </w:tc>
        <w:tc>
          <w:tcPr>
            <w:tcW w:w="2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eastAsia="宋体"/>
                <w:kern w:val="0"/>
                <w:sz w:val="18"/>
                <w:szCs w:val="18"/>
              </w:rPr>
            </w:pPr>
            <w:r>
              <w:rPr>
                <w:rFonts w:hint="eastAsia" w:ascii="宋体" w:eastAsia="宋体"/>
                <w:kern w:val="0"/>
                <w:sz w:val="18"/>
                <w:szCs w:val="18"/>
              </w:rPr>
              <w:t>社会公众或服务对象对项目实施效果的满意程度。</w:t>
            </w:r>
          </w:p>
        </w:tc>
        <w:tc>
          <w:tcPr>
            <w:tcW w:w="38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eastAsia="宋体"/>
                <w:kern w:val="0"/>
                <w:sz w:val="18"/>
                <w:szCs w:val="18"/>
              </w:rPr>
            </w:pPr>
            <w:r>
              <w:rPr>
                <w:rFonts w:hint="eastAsia" w:ascii="宋体" w:eastAsia="宋体"/>
                <w:kern w:val="0"/>
                <w:sz w:val="18"/>
                <w:szCs w:val="18"/>
              </w:rPr>
              <w:t>社会公众或服务对象是指因该项目实施而受到影响的部门、群体或个人。一般采取社会调查的方式。</w:t>
            </w:r>
          </w:p>
        </w:tc>
        <w:tc>
          <w:tcPr>
            <w:tcW w:w="7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526" w:hRule="atLeast"/>
          <w:tblCellSpacing w:w="0" w:type="dxa"/>
          <w:jc w:val="center"/>
        </w:trPr>
        <w:tc>
          <w:tcPr>
            <w:tcW w:w="1913"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lang w:eastAsia="zh-CN"/>
              </w:rPr>
            </w:pPr>
            <w:r>
              <w:rPr>
                <w:rFonts w:hint="eastAsia" w:ascii="宋体"/>
                <w:kern w:val="0"/>
                <w:sz w:val="18"/>
                <w:szCs w:val="18"/>
                <w:lang w:eastAsia="zh-CN"/>
              </w:rPr>
              <w:t>合计</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eastAsia="宋体"/>
                <w:kern w:val="0"/>
                <w:sz w:val="18"/>
                <w:szCs w:val="18"/>
                <w:lang w:val="en-US" w:eastAsia="zh-CN"/>
              </w:rPr>
            </w:pPr>
            <w:r>
              <w:rPr>
                <w:rFonts w:hint="eastAsia" w:ascii="宋体"/>
                <w:kern w:val="0"/>
                <w:sz w:val="18"/>
                <w:szCs w:val="18"/>
                <w:lang w:val="en-US" w:eastAsia="zh-CN"/>
              </w:rPr>
              <w:t>100</w:t>
            </w:r>
          </w:p>
        </w:tc>
        <w:tc>
          <w:tcPr>
            <w:tcW w:w="2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eastAsia="宋体"/>
                <w:kern w:val="0"/>
                <w:sz w:val="18"/>
                <w:szCs w:val="18"/>
              </w:rPr>
            </w:pPr>
          </w:p>
        </w:tc>
        <w:tc>
          <w:tcPr>
            <w:tcW w:w="38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eastAsia="宋体"/>
                <w:kern w:val="0"/>
                <w:sz w:val="18"/>
                <w:szCs w:val="18"/>
              </w:rPr>
            </w:pPr>
          </w:p>
        </w:tc>
        <w:tc>
          <w:tcPr>
            <w:tcW w:w="7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eastAsia="宋体"/>
                <w:kern w:val="0"/>
                <w:sz w:val="18"/>
                <w:szCs w:val="18"/>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color w:val="000000"/>
          <w:kern w:val="0"/>
          <w:szCs w:val="32"/>
        </w:rPr>
      </w:pPr>
    </w:p>
    <w:p>
      <w:pPr>
        <w:pStyle w:val="3"/>
        <w:rPr>
          <w:rFonts w:cs="黑体" w:asciiTheme="minorEastAsia" w:hAnsiTheme="minorEastAsia"/>
          <w:color w:val="000000"/>
          <w:kern w:val="0"/>
          <w:sz w:val="32"/>
          <w:szCs w:val="32"/>
        </w:rPr>
      </w:pPr>
    </w:p>
    <w:p>
      <w:pPr>
        <w:pStyle w:val="4"/>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7"/>
        <w:tab w:val="clear" w:pos="8306"/>
      </w:tabs>
    </w:pPr>
    <w:r>
      <w:rPr>
        <w:rFonts w:hint="eastAsia" w:ascii="仿宋_GB2312" w:eastAsia="仿宋_GB2312"/>
        <w:sz w:val="32"/>
        <w:szCs w:val="32"/>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1270</wp:posOffset>
              </wp:positionV>
              <wp:extent cx="34925" cy="131445"/>
              <wp:effectExtent l="0" t="0" r="0" b="0"/>
              <wp:wrapSquare wrapText="bothSides"/>
              <wp:docPr id="4" name="矩形 4"/>
              <wp:cNvGraphicFramePr/>
              <a:graphic xmlns:a="http://schemas.openxmlformats.org/drawingml/2006/main">
                <a:graphicData uri="http://schemas.microsoft.com/office/word/2010/wordprocessingShape">
                  <wps:wsp>
                    <wps:cNvSpPr/>
                    <wps:spPr>
                      <a:xfrm>
                        <a:off x="0" y="0"/>
                        <a:ext cx="34925" cy="131445"/>
                      </a:xfrm>
                      <a:prstGeom prst="rect">
                        <a:avLst/>
                      </a:prstGeom>
                      <a:noFill/>
                      <a:ln>
                        <a:noFill/>
                      </a:ln>
                    </wps:spPr>
                    <wps:txbx>
                      <w:txbxContent>
                        <w:p>
                          <w:pPr>
                            <w:pStyle w:val="7"/>
                            <w:tabs>
                              <w:tab w:val="right" w:pos="8307"/>
                              <w:tab w:val="clear" w:pos="8306"/>
                            </w:tabs>
                          </w:pPr>
                        </w:p>
                      </w:txbxContent>
                    </wps:txbx>
                    <wps:bodyPr wrap="none" lIns="12700" tIns="0" rIns="12700" bIns="0" upright="1">
                      <a:spAutoFit/>
                    </wps:bodyPr>
                  </wps:wsp>
                </a:graphicData>
              </a:graphic>
            </wp:anchor>
          </w:drawing>
        </mc:Choice>
        <mc:Fallback>
          <w:pict>
            <v:rect id="_x0000_s1026" o:spid="_x0000_s1026" o:spt="1" style="position:absolute;left:0pt;margin-top:0.1pt;height:10.35pt;width:2.75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inhi7SAAAAAgEAAA8AAAAAAAAAAQAgAAAAIgAAAGRycy9kb3ducmV2&#10;LnhtbFBLAQIUABQAAAAIAIdO4kBEhNigyQEAAJEDAAAOAAAAAAAAAAEAIAAAACEBAABkcnMvZTJv&#10;RG9jLnhtbFBLBQYAAAAABgAGAFkBAABcBQAAAAA=&#10;">
              <v:fill on="f" focussize="0,0"/>
              <v:stroke on="f"/>
              <v:imagedata o:title=""/>
              <o:lock v:ext="edit" aspectratio="f"/>
              <v:textbox inset="1pt,0mm,1pt,0mm" style="mso-fit-shape-to-text:t;">
                <w:txbxContent>
                  <w:p>
                    <w:pPr>
                      <w:pStyle w:val="7"/>
                      <w:tabs>
                        <w:tab w:val="right" w:pos="8307"/>
                        <w:tab w:val="clear" w:pos="8306"/>
                      </w:tabs>
                    </w:pPr>
                  </w:p>
                </w:txbxContent>
              </v:textbox>
              <w10:wrap type="square"/>
            </v:rect>
          </w:pict>
        </mc:Fallback>
      </mc:AlternateContent>
    </w:r>
    <w:r>
      <w:rPr>
        <w:rFonts w:hint="eastAsia" w:ascii="黑体" w:eastAsia="黑体"/>
        <w:sz w:val="32"/>
        <w:szCs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2550" cy="131445"/>
              <wp:effectExtent l="0" t="0" r="0" b="0"/>
              <wp:wrapNone/>
              <wp:docPr id="1" name="矩形 1"/>
              <wp:cNvGraphicFramePr/>
              <a:graphic xmlns:a="http://schemas.openxmlformats.org/drawingml/2006/main">
                <a:graphicData uri="http://schemas.microsoft.com/office/word/2010/wordprocessingShape">
                  <wps:wsp>
                    <wps:cNvSpPr/>
                    <wps:spPr>
                      <a:xfrm>
                        <a:off x="0" y="0"/>
                        <a:ext cx="82550" cy="131445"/>
                      </a:xfrm>
                      <a:prstGeom prst="rect">
                        <a:avLst/>
                      </a:prstGeom>
                      <a:noFill/>
                      <a:ln>
                        <a:noFill/>
                      </a:ln>
                    </wps:spPr>
                    <wps:txbx>
                      <w:txbxContent>
                        <w:p>
                          <w:pPr>
                            <w:pStyle w:val="7"/>
                            <w:tabs>
                              <w:tab w:val="right" w:pos="8307"/>
                              <w:tab w:val="clear" w:pos="8306"/>
                            </w:tabs>
                          </w:pPr>
                          <w:r>
                            <w:fldChar w:fldCharType="begin"/>
                          </w:r>
                          <w:r>
                            <w:rPr>
                              <w:rStyle w:val="11"/>
                            </w:rPr>
                            <w:instrText xml:space="preserve">Page</w:instrText>
                          </w:r>
                          <w:r>
                            <w:fldChar w:fldCharType="separate"/>
                          </w:r>
                          <w:r>
                            <w:rPr>
                              <w:rStyle w:val="11"/>
                            </w:rPr>
                            <w:t>3</w:t>
                          </w:r>
                          <w:r>
                            <w:fldChar w:fldCharType="end"/>
                          </w:r>
                        </w:p>
                      </w:txbxContent>
                    </wps:txbx>
                    <wps:bodyPr wrap="none" lIns="0" tIns="0" rIns="0" bIns="0" upright="1">
                      <a:spAutoFit/>
                    </wps:bodyPr>
                  </wps:wsp>
                </a:graphicData>
              </a:graphic>
            </wp:anchor>
          </w:drawing>
        </mc:Choice>
        <mc:Fallback>
          <w:pict>
            <v:rect id="_x0000_s1026" o:spid="_x0000_s1026" o:spt="1" style="position:absolute;left:0pt;margin-top:0pt;height:10.35pt;width:6.5pt;mso-position-horizontal:center;mso-position-horizontal-relative:margin;mso-wrap-style:none;z-index:251660288;mso-width-relative:page;mso-height-relative:page;" filled="f" stroked="f" coordsize="21600,21600" o:gfxdata="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ksvo9EAAAADAQAADwAAAAAAAAABACAAAAAiAAAAZHJzL2Rvd25yZXYueG1sUEsB&#10;AhQAFAAAAAgAh07iQBiIKxXDAQAAiQMAAA4AAAAAAAAAAQAgAAAAIAEAAGRycy9lMm9Eb2MueG1s&#10;UEsFBgAAAAAGAAYAWQEAAFUFAAAAAA==&#10;">
              <v:fill on="f" focussize="0,0"/>
              <v:stroke on="f"/>
              <v:imagedata o:title=""/>
              <o:lock v:ext="edit" aspectratio="f"/>
              <v:textbox inset="0mm,0mm,0mm,0mm" style="mso-fit-shape-to-text:t;">
                <w:txbxContent>
                  <w:p>
                    <w:pPr>
                      <w:pStyle w:val="7"/>
                      <w:tabs>
                        <w:tab w:val="right" w:pos="8307"/>
                        <w:tab w:val="clear" w:pos="8306"/>
                      </w:tabs>
                    </w:pPr>
                    <w:r>
                      <w:fldChar w:fldCharType="begin"/>
                    </w:r>
                    <w:r>
                      <w:rPr>
                        <w:rStyle w:val="11"/>
                      </w:rPr>
                      <w:instrText xml:space="preserve">Page</w:instrText>
                    </w:r>
                    <w:r>
                      <w:fldChar w:fldCharType="separate"/>
                    </w:r>
                    <w:r>
                      <w:rPr>
                        <w:rStyle w:val="11"/>
                      </w:rPr>
                      <w:t>3</w:t>
                    </w:r>
                    <w:r>
                      <w:fldChar w:fldCharType="end"/>
                    </w:r>
                  </w:p>
                </w:txbxContent>
              </v:textbox>
            </v:rect>
          </w:pict>
        </mc:Fallback>
      </mc:AlternateContent>
    </w:r>
    <w:r>
      <w:rPr>
        <w:rFonts w:hint="eastAsia" w:ascii="仿宋_GB2312" w:eastAsia="仿宋_GB2312" w:cs="Tahoma"/>
        <w:sz w:val="32"/>
        <w:szCs w:val="3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82550" cy="131445"/>
              <wp:effectExtent l="0" t="0" r="0" b="0"/>
              <wp:wrapNone/>
              <wp:docPr id="2" name="矩形 2"/>
              <wp:cNvGraphicFramePr/>
              <a:graphic xmlns:a="http://schemas.openxmlformats.org/drawingml/2006/main">
                <a:graphicData uri="http://schemas.microsoft.com/office/word/2010/wordprocessingShape">
                  <wps:wsp>
                    <wps:cNvSpPr/>
                    <wps:spPr>
                      <a:xfrm>
                        <a:off x="0" y="0"/>
                        <a:ext cx="82550" cy="131445"/>
                      </a:xfrm>
                      <a:prstGeom prst="rect">
                        <a:avLst/>
                      </a:prstGeom>
                      <a:noFill/>
                      <a:ln>
                        <a:noFill/>
                      </a:ln>
                    </wps:spPr>
                    <wps:txbx>
                      <w:txbxContent>
                        <w:p>
                          <w:pPr>
                            <w:pStyle w:val="7"/>
                            <w:tabs>
                              <w:tab w:val="right" w:pos="8307"/>
                              <w:tab w:val="clear" w:pos="8306"/>
                            </w:tabs>
                          </w:pPr>
                          <w:r>
                            <w:fldChar w:fldCharType="begin"/>
                          </w:r>
                          <w:r>
                            <w:rPr>
                              <w:rStyle w:val="11"/>
                            </w:rPr>
                            <w:instrText xml:space="preserve">Page</w:instrText>
                          </w:r>
                          <w:r>
                            <w:fldChar w:fldCharType="separate"/>
                          </w:r>
                          <w:r>
                            <w:rPr>
                              <w:rStyle w:val="11"/>
                            </w:rPr>
                            <w:t>3</w:t>
                          </w:r>
                          <w:r>
                            <w:fldChar w:fldCharType="end"/>
                          </w:r>
                        </w:p>
                      </w:txbxContent>
                    </wps:txbx>
                    <wps:bodyPr wrap="none" lIns="0" tIns="0" rIns="0" bIns="0" upright="1">
                      <a:spAutoFit/>
                    </wps:bodyPr>
                  </wps:wsp>
                </a:graphicData>
              </a:graphic>
            </wp:anchor>
          </w:drawing>
        </mc:Choice>
        <mc:Fallback>
          <w:pict>
            <v:rect id="_x0000_s1026" o:spid="_x0000_s1026" o:spt="1" style="position:absolute;left:0pt;margin-top:0pt;height:10.35pt;width:6.5pt;mso-position-horizontal:center;mso-position-horizontal-relative:margin;mso-wrap-style:none;z-index:251661312;mso-width-relative:page;mso-height-relative:page;" filled="f" stroked="f" coordsize="21600,21600" o:gfxdata="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ksvo9EAAAADAQAADwAAAAAAAAABACAAAAAiAAAAZHJzL2Rvd25yZXYueG1sUEsB&#10;AhQAFAAAAAgAh07iQBpJhQLDAQAAiQMAAA4AAAAAAAAAAQAgAAAAIAEAAGRycy9lMm9Eb2MueG1s&#10;UEsFBgAAAAAGAAYAWQEAAFUFAAAAAA==&#10;">
              <v:fill on="f" focussize="0,0"/>
              <v:stroke on="f"/>
              <v:imagedata o:title=""/>
              <o:lock v:ext="edit" aspectratio="f"/>
              <v:textbox inset="0mm,0mm,0mm,0mm" style="mso-fit-shape-to-text:t;">
                <w:txbxContent>
                  <w:p>
                    <w:pPr>
                      <w:pStyle w:val="7"/>
                      <w:tabs>
                        <w:tab w:val="right" w:pos="8307"/>
                        <w:tab w:val="clear" w:pos="8306"/>
                      </w:tabs>
                    </w:pPr>
                    <w:r>
                      <w:fldChar w:fldCharType="begin"/>
                    </w:r>
                    <w:r>
                      <w:rPr>
                        <w:rStyle w:val="11"/>
                      </w:rPr>
                      <w:instrText xml:space="preserve">Page</w:instrText>
                    </w:r>
                    <w:r>
                      <w:fldChar w:fldCharType="separate"/>
                    </w:r>
                    <w:r>
                      <w:rPr>
                        <w:rStyle w:val="11"/>
                      </w:rPr>
                      <w:t>3</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7"/>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tabs>
                              <w:tab w:val="right" w:pos="8307"/>
                              <w:tab w:val="clear" w:pos="8306"/>
                            </w:tabs>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7"/>
                      <w:tabs>
                        <w:tab w:val="right" w:pos="8307"/>
                        <w:tab w:val="clear"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D75277"/>
    <w:multiLevelType w:val="singleLevel"/>
    <w:tmpl w:val="CCD7527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2EE5"/>
    <w:rsid w:val="00E8683C"/>
    <w:rsid w:val="00EA2B72"/>
    <w:rsid w:val="00F74360"/>
    <w:rsid w:val="00FB462F"/>
    <w:rsid w:val="00FE16FA"/>
    <w:rsid w:val="00FE328A"/>
    <w:rsid w:val="00FE6269"/>
    <w:rsid w:val="0BC74660"/>
    <w:rsid w:val="0C937D2A"/>
    <w:rsid w:val="11003973"/>
    <w:rsid w:val="17840D89"/>
    <w:rsid w:val="19ED3B3B"/>
    <w:rsid w:val="1A553604"/>
    <w:rsid w:val="1CE07BB3"/>
    <w:rsid w:val="20F81396"/>
    <w:rsid w:val="228F6A0D"/>
    <w:rsid w:val="230C5F1B"/>
    <w:rsid w:val="2A755BE1"/>
    <w:rsid w:val="2EF02E9E"/>
    <w:rsid w:val="2F7C41F6"/>
    <w:rsid w:val="31E41A52"/>
    <w:rsid w:val="376F3EFE"/>
    <w:rsid w:val="3A03773A"/>
    <w:rsid w:val="3A5A3E0D"/>
    <w:rsid w:val="441668C0"/>
    <w:rsid w:val="46C774AF"/>
    <w:rsid w:val="4FE43A4C"/>
    <w:rsid w:val="55CE7630"/>
    <w:rsid w:val="5DEC712C"/>
    <w:rsid w:val="65751542"/>
    <w:rsid w:val="6FBA1CCF"/>
    <w:rsid w:val="74691D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spacing w:before="100" w:beforeAutospacing="1" w:after="100" w:afterAutospacing="1"/>
      <w:outlineLvl w:val="0"/>
    </w:pPr>
    <w:rPr>
      <w:rFonts w:ascii="宋体" w:eastAsia="宋体" w:cs="宋体"/>
      <w:b/>
      <w:bCs/>
      <w:kern w:val="36"/>
      <w:sz w:val="48"/>
      <w:szCs w:val="48"/>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Indent 2"/>
    <w:basedOn w:val="1"/>
    <w:next w:val="3"/>
    <w:unhideWhenUsed/>
    <w:qFormat/>
    <w:uiPriority w:val="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30"/>
      <w:szCs w:val="30"/>
      <w:u w:val="none" w:color="auto"/>
      <w:vertAlign w:val="baseline"/>
      <w:lang w:val="en-US" w:eastAsia="zh-CN" w:bidi="ar-SA"/>
    </w:rPr>
  </w:style>
  <w:style w:type="paragraph" w:customStyle="1" w:styleId="3">
    <w:name w:val="p0"/>
    <w:next w:val="4"/>
    <w:qFormat/>
    <w:uiPriority w:val="0"/>
    <w:pPr>
      <w:spacing w:line="365" w:lineRule="atLeast"/>
      <w:ind w:left="1"/>
    </w:pPr>
    <w:rPr>
      <w:rFonts w:eastAsia="宋体" w:asciiTheme="minorHAnsi" w:hAnsiTheme="minorHAnsi" w:cstheme="minorBidi"/>
      <w:sz w:val="24"/>
      <w:szCs w:val="22"/>
      <w:lang w:val="en-US" w:eastAsia="zh-CN" w:bidi="ar-SA"/>
    </w:rPr>
  </w:style>
  <w:style w:type="paragraph" w:styleId="4">
    <w:name w:val="header"/>
    <w:basedOn w:val="1"/>
    <w:next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alloon Text"/>
    <w:basedOn w:val="1"/>
    <w:link w:val="16"/>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page number"/>
    <w:basedOn w:val="10"/>
    <w:qFormat/>
    <w:uiPriority w:val="0"/>
  </w:style>
  <w:style w:type="character" w:customStyle="1" w:styleId="12">
    <w:name w:val="页眉 Char"/>
    <w:basedOn w:val="10"/>
    <w:link w:val="4"/>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customStyle="1"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1308</Words>
  <Characters>7462</Characters>
  <Lines>62</Lines>
  <Paragraphs>17</Paragraphs>
  <TotalTime>7</TotalTime>
  <ScaleCrop>false</ScaleCrop>
  <LinksUpToDate>false</LinksUpToDate>
  <CharactersWithSpaces>8753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欢欢</cp:lastModifiedBy>
  <cp:lastPrinted>2021-07-28T00:12:00Z</cp:lastPrinted>
  <dcterms:modified xsi:type="dcterms:W3CDTF">2021-12-14T07:43:37Z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E165F38F636949D9AB9152271EE1D5A6</vt:lpwstr>
  </property>
</Properties>
</file>