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洪江市商务局部门决算</w:t>
      </w:r>
    </w:p>
    <w:p>
      <w:pPr>
        <w:pStyle w:val="9"/>
        <w:jc w:val="center"/>
        <w:rPr>
          <w:rFonts w:ascii="方正小标宋_GBK" w:hAnsi="方正小标宋_GBK" w:eastAsia="方正小标宋_GBK" w:cs="方正小标宋_GBK"/>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spacing w:line="500" w:lineRule="exact"/>
        <w:jc w:val="both"/>
        <w:rPr>
          <w:b/>
          <w:sz w:val="36"/>
          <w:szCs w:val="28"/>
        </w:rPr>
      </w:pPr>
    </w:p>
    <w:p>
      <w:pPr>
        <w:pStyle w:val="9"/>
        <w:spacing w:line="500" w:lineRule="exact"/>
        <w:jc w:val="center"/>
        <w:rPr>
          <w:b/>
          <w:sz w:val="36"/>
          <w:szCs w:val="28"/>
        </w:rPr>
      </w:pPr>
      <w:r>
        <w:rPr>
          <w:rFonts w:hint="eastAsia"/>
          <w:b/>
          <w:sz w:val="36"/>
          <w:szCs w:val="28"/>
        </w:rPr>
        <w:t>目录</w:t>
      </w:r>
    </w:p>
    <w:p>
      <w:pPr>
        <w:pStyle w:val="9"/>
        <w:keepNext w:val="0"/>
        <w:keepLines w:val="0"/>
        <w:pageBreakBefore w:val="0"/>
        <w:widowControl w:val="0"/>
        <w:kinsoku/>
        <w:wordWrap/>
        <w:overflowPunct/>
        <w:topLinePunct w:val="0"/>
        <w:bidi w:val="0"/>
        <w:snapToGrid/>
        <w:spacing w:line="490" w:lineRule="exact"/>
        <w:textAlignment w:val="auto"/>
        <w:rPr>
          <w:rFonts w:hAnsi="黑体"/>
          <w:bCs/>
          <w:sz w:val="28"/>
          <w:szCs w:val="28"/>
        </w:rPr>
      </w:pPr>
      <w:r>
        <w:rPr>
          <w:rFonts w:hint="eastAsia" w:hAnsi="黑体"/>
          <w:bCs/>
          <w:sz w:val="28"/>
          <w:szCs w:val="28"/>
        </w:rPr>
        <w:t>第一部分 洪江市商务局概况</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9"/>
        <w:keepNext w:val="0"/>
        <w:keepLines w:val="0"/>
        <w:pageBreakBefore w:val="0"/>
        <w:widowControl w:val="0"/>
        <w:kinsoku/>
        <w:wordWrap/>
        <w:overflowPunct/>
        <w:topLinePunct w:val="0"/>
        <w:bidi w:val="0"/>
        <w:snapToGrid/>
        <w:spacing w:line="490" w:lineRule="exact"/>
        <w:textAlignment w:val="auto"/>
        <w:rPr>
          <w:rFonts w:hAnsi="黑体"/>
          <w:bCs/>
          <w:sz w:val="28"/>
          <w:szCs w:val="28"/>
        </w:rPr>
      </w:pPr>
      <w:r>
        <w:rPr>
          <w:rFonts w:hint="eastAsia" w:hAnsi="黑体"/>
          <w:bCs/>
          <w:sz w:val="28"/>
          <w:szCs w:val="28"/>
        </w:rPr>
        <w:t>第二部分 部门决算表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9"/>
        <w:keepNext w:val="0"/>
        <w:keepLines w:val="0"/>
        <w:pageBreakBefore w:val="0"/>
        <w:widowControl w:val="0"/>
        <w:kinsoku/>
        <w:wordWrap/>
        <w:overflowPunct/>
        <w:topLinePunct w:val="0"/>
        <w:bidi w:val="0"/>
        <w:snapToGrid/>
        <w:spacing w:line="490" w:lineRule="exact"/>
        <w:textAlignment w:val="auto"/>
        <w:rPr>
          <w:rFonts w:hAnsi="黑体"/>
          <w:bCs/>
          <w:sz w:val="28"/>
          <w:szCs w:val="28"/>
        </w:rPr>
      </w:pPr>
      <w:r>
        <w:rPr>
          <w:rFonts w:hint="eastAsia" w:hAnsi="黑体"/>
          <w:bCs/>
          <w:sz w:val="28"/>
          <w:szCs w:val="28"/>
        </w:rPr>
        <w:t>第三部分 部门决算情况说明</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490" w:lineRule="exact"/>
        <w:ind w:firstLine="700" w:firstLineChars="25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9"/>
        <w:keepNext w:val="0"/>
        <w:keepLines w:val="0"/>
        <w:pageBreakBefore w:val="0"/>
        <w:widowControl w:val="0"/>
        <w:kinsoku/>
        <w:wordWrap/>
        <w:overflowPunct/>
        <w:topLinePunct w:val="0"/>
        <w:bidi w:val="0"/>
        <w:snapToGrid/>
        <w:spacing w:line="49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十四、关于预算绩效情况的说明</w:t>
      </w:r>
    </w:p>
    <w:p>
      <w:pPr>
        <w:pStyle w:val="9"/>
        <w:keepNext w:val="0"/>
        <w:keepLines w:val="0"/>
        <w:pageBreakBefore w:val="0"/>
        <w:widowControl w:val="0"/>
        <w:kinsoku/>
        <w:wordWrap/>
        <w:overflowPunct/>
        <w:topLinePunct w:val="0"/>
        <w:bidi w:val="0"/>
        <w:snapToGrid/>
        <w:spacing w:line="490" w:lineRule="exact"/>
        <w:textAlignment w:val="auto"/>
        <w:rPr>
          <w:rFonts w:hAnsi="黑体"/>
          <w:bCs/>
          <w:sz w:val="28"/>
          <w:szCs w:val="28"/>
        </w:rPr>
      </w:pPr>
      <w:r>
        <w:rPr>
          <w:rFonts w:hint="eastAsia" w:hAnsi="黑体"/>
          <w:bCs/>
          <w:sz w:val="28"/>
          <w:szCs w:val="28"/>
        </w:rPr>
        <w:t>第四部分 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9"/>
        <w:jc w:val="center"/>
        <w:rPr>
          <w:rFonts w:ascii="方正小标宋_GBK" w:hAnsi="方正小标宋_GBK" w:eastAsia="方正小标宋_GBK" w:cs="方正小标宋_GBK"/>
          <w:sz w:val="84"/>
          <w:szCs w:val="84"/>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洪江市商务局概况</w:t>
      </w:r>
    </w:p>
    <w:p>
      <w:pPr>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0"/>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pPr>
        <w:spacing w:line="640" w:lineRule="exact"/>
        <w:ind w:firstLine="640" w:firstLineChars="200"/>
        <w:rPr>
          <w:rFonts w:ascii="仿宋" w:hAnsi="仿宋" w:eastAsia="仿宋" w:cs="仿宋"/>
          <w:sz w:val="32"/>
          <w:szCs w:val="32"/>
        </w:rPr>
      </w:pPr>
      <w:r>
        <w:rPr>
          <w:rFonts w:hint="eastAsia" w:ascii="仿宋" w:hAnsi="仿宋" w:eastAsia="仿宋"/>
          <w:sz w:val="32"/>
          <w:szCs w:val="32"/>
        </w:rPr>
        <w:t>本单位牵头负责全市招商引资和经济技术合作；负责全市外贸工作；监测分析商品市场运行和供求状况，调查分析商品价格信息和行业发展状况，进行预测预警和信息引导；拟定全市健全、规范市场体系和流通秩序的管理办法，牵头全市整顿和规范市场经济秩序的相关工作，组织开展专项整治等。</w:t>
      </w:r>
    </w:p>
    <w:p>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spacing w:line="640" w:lineRule="exact"/>
        <w:ind w:firstLine="627" w:firstLineChars="196"/>
        <w:rPr>
          <w:rFonts w:ascii="仿宋" w:hAnsi="仿宋" w:eastAsia="仿宋" w:cs="仿宋"/>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sz w:val="32"/>
          <w:szCs w:val="32"/>
        </w:rPr>
        <w:t>洪江市商务局</w:t>
      </w:r>
      <w:r>
        <w:rPr>
          <w:rFonts w:hint="eastAsia" w:ascii="仿宋" w:hAnsi="仿宋" w:eastAsia="仿宋"/>
          <w:sz w:val="32"/>
          <w:szCs w:val="32"/>
        </w:rPr>
        <w:t>内设机构有：办公室、人事教育股、投资促进事务中心、市场管理股、电子商务股、财务股、市场服务中心等。</w:t>
      </w:r>
    </w:p>
    <w:p>
      <w:pPr>
        <w:spacing w:line="640" w:lineRule="exact"/>
        <w:ind w:firstLine="640" w:firstLineChars="200"/>
        <w:rPr>
          <w:rFonts w:ascii="仿宋" w:hAnsi="仿宋" w:eastAsia="仿宋" w:cs="仿宋"/>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sz w:val="32"/>
          <w:szCs w:val="32"/>
        </w:rPr>
        <w:t>洪江市商务局只有本级，没有其他二级预算单位，因此，纳入</w:t>
      </w:r>
      <w:r>
        <w:rPr>
          <w:rFonts w:hint="eastAsia" w:ascii="Times New Roman" w:hAnsi="Times New Roman" w:eastAsia="仿宋_GB2312" w:cs="仿宋_GB2312"/>
          <w:bCs/>
          <w:kern w:val="0"/>
          <w:sz w:val="32"/>
          <w:szCs w:val="32"/>
        </w:rPr>
        <w:t>2022年部门决算汇总公开</w:t>
      </w:r>
      <w:r>
        <w:rPr>
          <w:rFonts w:hint="eastAsia" w:ascii="仿宋" w:hAnsi="仿宋" w:eastAsia="仿宋" w:cs="仿宋"/>
          <w:sz w:val="32"/>
          <w:szCs w:val="32"/>
        </w:rPr>
        <w:t>范围的只有部门本级。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9"/>
        <w:jc w:val="center"/>
        <w:rPr>
          <w:rFonts w:ascii="方正小标宋_GBK" w:hAnsi="方正小标宋_GBK" w:eastAsia="方正小标宋_GBK" w:cs="方正小标宋_GBK"/>
          <w:sz w:val="84"/>
          <w:szCs w:val="84"/>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9"/>
        <w:jc w:val="center"/>
        <w:rPr>
          <w:rFonts w:ascii="方正小标宋_GBK" w:hAnsi="方正小标宋_GBK" w:eastAsia="方正小标宋_GBK" w:cs="方正小标宋_GBK"/>
          <w:sz w:val="84"/>
          <w:szCs w:val="84"/>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5428" w:type="dxa"/>
        <w:tblInd w:w="0" w:type="dxa"/>
        <w:tblLayout w:type="fixed"/>
        <w:tblCellMar>
          <w:top w:w="0" w:type="dxa"/>
          <w:left w:w="0" w:type="dxa"/>
          <w:bottom w:w="0" w:type="dxa"/>
          <w:right w:w="0" w:type="dxa"/>
        </w:tblCellMar>
      </w:tblPr>
      <w:tblGrid>
        <w:gridCol w:w="960"/>
        <w:gridCol w:w="48"/>
        <w:gridCol w:w="769"/>
        <w:gridCol w:w="1924"/>
        <w:gridCol w:w="1417"/>
        <w:gridCol w:w="1450"/>
        <w:gridCol w:w="1635"/>
        <w:gridCol w:w="1635"/>
        <w:gridCol w:w="1635"/>
        <w:gridCol w:w="1635"/>
        <w:gridCol w:w="2320"/>
      </w:tblGrid>
      <w:tr>
        <w:tblPrEx>
          <w:tblCellMar>
            <w:top w:w="0" w:type="dxa"/>
            <w:left w:w="0" w:type="dxa"/>
            <w:bottom w:w="0" w:type="dxa"/>
            <w:right w:w="0" w:type="dxa"/>
          </w:tblCellMar>
        </w:tblPrEx>
        <w:trPr>
          <w:trHeight w:val="435" w:hRule="atLeast"/>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5398" w:type="dxa"/>
              <w:tblInd w:w="0" w:type="dxa"/>
              <w:tblLayout w:type="fixed"/>
              <w:tblCellMar>
                <w:top w:w="0" w:type="dxa"/>
                <w:left w:w="108" w:type="dxa"/>
                <w:bottom w:w="0" w:type="dxa"/>
                <w:right w:w="108" w:type="dxa"/>
              </w:tblCellMar>
            </w:tblPr>
            <w:tblGrid>
              <w:gridCol w:w="4303"/>
              <w:gridCol w:w="604"/>
              <w:gridCol w:w="1361"/>
              <w:gridCol w:w="4876"/>
              <w:gridCol w:w="1580"/>
              <w:gridCol w:w="1217"/>
              <w:gridCol w:w="1457"/>
            </w:tblGrid>
            <w:tr>
              <w:tblPrEx>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auto"/>
                  <w:noWrap/>
                  <w:vAlign w:val="center"/>
                </w:tcPr>
                <w:p>
                  <w:pPr>
                    <w:jc w:val="left"/>
                    <w:rPr>
                      <w:rFonts w:ascii="黑体" w:hAnsi="宋体" w:eastAsia="黑体" w:cs="黑体"/>
                      <w:color w:val="000000"/>
                      <w:sz w:val="24"/>
                      <w:szCs w:val="24"/>
                    </w:rPr>
                  </w:pPr>
                </w:p>
              </w:tc>
              <w:tc>
                <w:tcPr>
                  <w:tcW w:w="603"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1399"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5033"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1625"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2296" w:type="dxa"/>
                  <w:gridSpan w:val="2"/>
                  <w:tcBorders>
                    <w:top w:val="nil"/>
                    <w:left w:val="nil"/>
                    <w:bottom w:val="nil"/>
                    <w:right w:val="nil"/>
                  </w:tcBorders>
                  <w:shd w:val="clear" w:color="auto" w:fill="auto"/>
                  <w:noWrap/>
                  <w:vAlign w:val="center"/>
                </w:tcPr>
                <w:p>
                  <w:pPr>
                    <w:jc w:val="right"/>
                    <w:rPr>
                      <w:rFonts w:ascii="黑体" w:hAnsi="宋体" w:eastAsia="黑体" w:cs="黑体"/>
                      <w:color w:val="000000"/>
                      <w:sz w:val="24"/>
                      <w:szCs w:val="24"/>
                    </w:rPr>
                  </w:pPr>
                </w:p>
              </w:tc>
            </w:tr>
            <w:tr>
              <w:tblPrEx>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收入支出决算总表</w:t>
                  </w:r>
                </w:p>
              </w:tc>
            </w:tr>
            <w:tr>
              <w:tblPrEx>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616"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1398"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5029"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1624"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2294" w:type="dxa"/>
                  <w:gridSpan w:val="2"/>
                  <w:tcBorders>
                    <w:top w:val="nil"/>
                    <w:left w:val="nil"/>
                    <w:bottom w:val="nil"/>
                    <w:right w:val="nil"/>
                  </w:tcBorders>
                  <w:shd w:val="clear" w:color="auto" w:fill="FFFFFF"/>
                  <w:noWrap/>
                  <w:vAlign w:val="center"/>
                </w:tcPr>
                <w:p>
                  <w:pPr>
                    <w:widowControl/>
                    <w:ind w:right="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tblPrEx>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部门：洪江市商务局</w:t>
                  </w:r>
                </w:p>
              </w:tc>
              <w:tc>
                <w:tcPr>
                  <w:tcW w:w="616"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1398"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5029"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1624" w:type="dxa"/>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2294" w:type="dxa"/>
                  <w:gridSpan w:val="2"/>
                  <w:tcBorders>
                    <w:top w:val="nil"/>
                    <w:left w:val="nil"/>
                    <w:bottom w:val="nil"/>
                    <w:right w:val="nil"/>
                  </w:tcBorders>
                  <w:shd w:val="clear" w:color="auto" w:fill="FFFFFF"/>
                  <w:noWrap/>
                  <w:vAlign w:val="center"/>
                </w:tcPr>
                <w:p>
                  <w:pPr>
                    <w:widowControl/>
                    <w:ind w:right="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gridAfter w:val="1"/>
                <w:wAfter w:w="1506" w:type="dxa"/>
                <w:trHeight w:val="448" w:hRule="atLeast"/>
              </w:trPr>
              <w:tc>
                <w:tcPr>
                  <w:tcW w:w="64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收入</w:t>
                  </w:r>
                </w:p>
              </w:tc>
              <w:tc>
                <w:tcPr>
                  <w:tcW w:w="744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支出</w:t>
                  </w:r>
                </w:p>
              </w:tc>
            </w:tr>
            <w:tr>
              <w:tblPrEx>
                <w:tblCellMar>
                  <w:top w:w="0" w:type="dxa"/>
                  <w:left w:w="108" w:type="dxa"/>
                  <w:bottom w:w="0" w:type="dxa"/>
                  <w:right w:w="108" w:type="dxa"/>
                </w:tblCellMar>
              </w:tblPrEx>
              <w:trPr>
                <w:gridAfter w:val="1"/>
                <w:wAfter w:w="1506" w:type="dxa"/>
                <w:trHeight w:val="62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1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宋体" w:hAnsi="宋体" w:eastAsia="宋体" w:cs="宋体"/>
                      <w:color w:val="000000"/>
                      <w:sz w:val="24"/>
                      <w:szCs w:val="24"/>
                    </w:rPr>
                  </w:pP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right="220"/>
                    <w:jc w:val="right"/>
                    <w:rPr>
                      <w:rFonts w:ascii="宋体" w:hAnsi="宋体" w:eastAsia="宋体" w:cs="宋体"/>
                      <w:b/>
                      <w:color w:val="000000"/>
                      <w:sz w:val="22"/>
                    </w:rPr>
                  </w:pPr>
                  <w:r>
                    <w:rPr>
                      <w:rFonts w:hint="eastAsia" w:ascii="宋体" w:hAnsi="宋体" w:eastAsia="宋体" w:cs="宋体"/>
                      <w:b/>
                      <w:color w:val="000000"/>
                      <w:sz w:val="22"/>
                    </w:rPr>
                    <w:t>1789.89</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仿宋" w:hAnsi="仿宋" w:eastAsia="仿宋" w:cs="宋体"/>
                      <w:b/>
                      <w:color w:val="000000"/>
                      <w:sz w:val="22"/>
                    </w:rPr>
                  </w:pPr>
                  <w:r>
                    <w:rPr>
                      <w:rFonts w:hint="eastAsia" w:ascii="仿宋" w:hAnsi="仿宋" w:eastAsia="仿宋" w:cs="宋体"/>
                      <w:b/>
                      <w:color w:val="000000"/>
                      <w:sz w:val="22"/>
                    </w:rPr>
                    <w:t>857.26</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二、社会保障和就业支出</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仿宋" w:hAnsi="仿宋" w:eastAsia="仿宋" w:cs="宋体"/>
                      <w:b/>
                      <w:color w:val="000000"/>
                      <w:sz w:val="22"/>
                    </w:rPr>
                  </w:pPr>
                  <w:r>
                    <w:rPr>
                      <w:rFonts w:hint="eastAsia" w:ascii="仿宋" w:hAnsi="仿宋" w:eastAsia="仿宋" w:cs="宋体"/>
                      <w:b/>
                      <w:color w:val="000000"/>
                      <w:sz w:val="22"/>
                    </w:rPr>
                    <w:t>91.46</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三、卫生健康支出</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仿宋" w:hAnsi="仿宋" w:eastAsia="仿宋" w:cs="宋体"/>
                      <w:b/>
                      <w:color w:val="000000"/>
                      <w:sz w:val="22"/>
                    </w:rPr>
                  </w:pPr>
                  <w:r>
                    <w:rPr>
                      <w:rFonts w:hint="eastAsia" w:ascii="仿宋" w:hAnsi="仿宋" w:eastAsia="仿宋" w:cs="宋体"/>
                      <w:b/>
                      <w:color w:val="000000"/>
                      <w:sz w:val="22"/>
                    </w:rPr>
                    <w:t>18.37</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四、城乡社区支出</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仿宋" w:hAnsi="仿宋" w:eastAsia="仿宋" w:cs="宋体"/>
                      <w:b/>
                      <w:color w:val="000000"/>
                      <w:sz w:val="22"/>
                    </w:rPr>
                  </w:pPr>
                  <w:r>
                    <w:rPr>
                      <w:rFonts w:hint="eastAsia" w:ascii="仿宋" w:hAnsi="仿宋" w:eastAsia="仿宋" w:cs="宋体"/>
                      <w:b/>
                      <w:color w:val="000000"/>
                      <w:sz w:val="22"/>
                    </w:rPr>
                    <w:t>74.54</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五、商业服务业等支出</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仿宋" w:hAnsi="仿宋" w:eastAsia="仿宋" w:cs="宋体"/>
                      <w:b/>
                      <w:color w:val="000000"/>
                      <w:sz w:val="22"/>
                    </w:rPr>
                  </w:pPr>
                  <w:r>
                    <w:rPr>
                      <w:rFonts w:hint="eastAsia" w:ascii="仿宋" w:hAnsi="仿宋" w:eastAsia="仿宋" w:cs="宋体"/>
                      <w:b/>
                      <w:color w:val="000000"/>
                      <w:sz w:val="22"/>
                    </w:rPr>
                    <w:t>706.25</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六、住房保障支出</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仿宋" w:hAnsi="仿宋" w:eastAsia="仿宋" w:cs="宋体"/>
                      <w:b/>
                      <w:color w:val="000000"/>
                      <w:sz w:val="22"/>
                    </w:rPr>
                  </w:pPr>
                  <w:r>
                    <w:rPr>
                      <w:rFonts w:hint="eastAsia" w:ascii="仿宋" w:hAnsi="仿宋" w:eastAsia="仿宋" w:cs="宋体"/>
                      <w:b/>
                      <w:color w:val="000000"/>
                      <w:sz w:val="22"/>
                    </w:rPr>
                    <w:t>15.5</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2"/>
                    </w:rPr>
                    <w:t>七、其他支出</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仿宋" w:hAnsi="仿宋" w:eastAsia="仿宋" w:cs="宋体"/>
                      <w:b/>
                      <w:color w:val="000000"/>
                      <w:sz w:val="22"/>
                    </w:rPr>
                  </w:pPr>
                  <w:r>
                    <w:rPr>
                      <w:rFonts w:hint="eastAsia" w:ascii="仿宋" w:hAnsi="仿宋" w:eastAsia="仿宋" w:cs="宋体"/>
                      <w:b/>
                      <w:color w:val="000000"/>
                      <w:sz w:val="22"/>
                    </w:rPr>
                    <w:t>26.51</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宋体" w:hAnsi="宋体" w:eastAsia="宋体" w:cs="宋体"/>
                      <w:color w:val="000000"/>
                      <w:sz w:val="22"/>
                    </w:rPr>
                  </w:pP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宋体"/>
                      <w:b/>
                      <w:color w:val="000000"/>
                      <w:sz w:val="22"/>
                    </w:rPr>
                  </w:pP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0"/>
                      <w:szCs w:val="20"/>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0"/>
                      <w:szCs w:val="20"/>
                    </w:rPr>
                  </w:pP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 w:hAnsi="仿宋" w:eastAsia="仿宋" w:cs="宋体"/>
                      <w:b/>
                      <w:color w:val="000000"/>
                      <w:sz w:val="22"/>
                    </w:rPr>
                  </w:pP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right="220"/>
                    <w:jc w:val="right"/>
                    <w:rPr>
                      <w:rFonts w:ascii="宋体" w:hAnsi="宋体" w:eastAsia="宋体" w:cs="宋体"/>
                      <w:b/>
                      <w:color w:val="000000"/>
                      <w:sz w:val="22"/>
                    </w:rPr>
                  </w:pPr>
                  <w:r>
                    <w:rPr>
                      <w:rFonts w:hint="eastAsia" w:ascii="宋体" w:hAnsi="宋体" w:eastAsia="宋体" w:cs="宋体"/>
                      <w:b/>
                      <w:color w:val="000000"/>
                      <w:sz w:val="22"/>
                    </w:rPr>
                    <w:t>1789.89</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221" w:firstLineChars="100"/>
                    <w:rPr>
                      <w:rFonts w:ascii="仿宋" w:hAnsi="仿宋" w:eastAsia="仿宋" w:cs="宋体"/>
                      <w:b/>
                      <w:color w:val="000000"/>
                      <w:sz w:val="22"/>
                    </w:rPr>
                  </w:pPr>
                  <w:r>
                    <w:rPr>
                      <w:rFonts w:hint="eastAsia" w:ascii="仿宋" w:hAnsi="仿宋" w:eastAsia="仿宋" w:cs="宋体"/>
                      <w:b/>
                      <w:color w:val="000000"/>
                      <w:sz w:val="22"/>
                    </w:rPr>
                    <w:t>1789.89</w:t>
                  </w: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使用非财政拨款结余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结余分配</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gridAfter w:val="1"/>
                <w:wAfter w:w="1506" w:type="dxa"/>
                <w:trHeight w:val="62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年初结转和结余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年末结转和结余</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gridAfter w:val="1"/>
                <w:wAfter w:w="1506"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right="220"/>
                    <w:jc w:val="right"/>
                    <w:rPr>
                      <w:rFonts w:ascii="宋体" w:hAnsi="宋体" w:eastAsia="宋体" w:cs="宋体"/>
                      <w:b/>
                      <w:color w:val="000000"/>
                      <w:sz w:val="22"/>
                    </w:rPr>
                  </w:pPr>
                  <w:r>
                    <w:rPr>
                      <w:rFonts w:hint="eastAsia" w:ascii="宋体" w:hAnsi="宋体" w:eastAsia="宋体" w:cs="宋体"/>
                      <w:b/>
                      <w:color w:val="000000"/>
                      <w:sz w:val="22"/>
                    </w:rPr>
                    <w:t>1789.89</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b/>
                      <w:color w:val="000000"/>
                      <w:sz w:val="22"/>
                    </w:rPr>
                  </w:pPr>
                  <w:r>
                    <w:rPr>
                      <w:rFonts w:hint="eastAsia" w:ascii="宋体" w:hAnsi="宋体" w:eastAsia="宋体" w:cs="宋体"/>
                      <w:b/>
                      <w:color w:val="000000"/>
                      <w:sz w:val="22"/>
                    </w:rPr>
                    <w:t xml:space="preserve"> 1789.89</w:t>
                  </w:r>
                </w:p>
              </w:tc>
            </w:tr>
            <w:tr>
              <w:tblPrEx>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注：1.本表反映部门本年度的总收支和年末结转结余情况。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9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2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5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3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1777" w:type="dxa"/>
            <w:gridSpan w:val="3"/>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r>
              <w:rPr>
                <w:rFonts w:hint="eastAsia" w:ascii="宋体" w:hAnsi="宋体" w:eastAsia="宋体" w:cs="宋体"/>
                <w:color w:val="000000"/>
                <w:kern w:val="0"/>
                <w:sz w:val="20"/>
                <w:szCs w:val="20"/>
              </w:rPr>
              <w:t>洪江市商务局</w:t>
            </w:r>
          </w:p>
        </w:tc>
        <w:tc>
          <w:tcPr>
            <w:tcW w:w="1924" w:type="dxa"/>
            <w:tcBorders>
              <w:top w:val="nil"/>
              <w:left w:val="nil"/>
              <w:bottom w:val="nil"/>
              <w:right w:val="nil"/>
            </w:tcBorders>
            <w:shd w:val="clear" w:color="000000" w:fill="FFFFFF"/>
            <w:noWrap/>
            <w:tcMar>
              <w:top w:w="15" w:type="dxa"/>
              <w:left w:w="15" w:type="dxa"/>
              <w:bottom w:w="0" w:type="dxa"/>
              <w:right w:w="15" w:type="dxa"/>
            </w:tcMar>
            <w:vAlign w:val="center"/>
          </w:tcPr>
          <w:p>
            <w:pPr>
              <w:ind w:right="420"/>
              <w:rPr>
                <w:rFonts w:ascii="宋体" w:hAnsi="宋体" w:eastAsia="宋体" w:cs="宋体"/>
                <w:sz w:val="24"/>
                <w:szCs w:val="24"/>
              </w:rPr>
            </w:pPr>
            <w:r>
              <w:rPr>
                <w:rFonts w:hint="eastAsia"/>
              </w:rPr>
              <w:t>　</w:t>
            </w:r>
          </w:p>
        </w:tc>
        <w:tc>
          <w:tcPr>
            <w:tcW w:w="14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5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3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701"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6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6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6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23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00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693"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3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12" w:hRule="atLeast"/>
        </w:trPr>
        <w:tc>
          <w:tcPr>
            <w:tcW w:w="1008"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693" w:type="dxa"/>
            <w:gridSpan w:val="2"/>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3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87" w:hRule="atLeast"/>
        </w:trPr>
        <w:tc>
          <w:tcPr>
            <w:tcW w:w="3701"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4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仿宋" w:hAnsi="仿宋" w:eastAsia="仿宋" w:cs="宋体"/>
                <w:b/>
                <w:sz w:val="24"/>
                <w:szCs w:val="24"/>
              </w:rPr>
            </w:pPr>
            <w:r>
              <w:rPr>
                <w:rFonts w:hint="eastAsia" w:ascii="仿宋" w:hAnsi="仿宋" w:eastAsia="仿宋"/>
                <w:b/>
              </w:rPr>
              <w:t>1</w:t>
            </w:r>
          </w:p>
        </w:tc>
        <w:tc>
          <w:tcPr>
            <w:tcW w:w="14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仿宋" w:hAnsi="仿宋" w:eastAsia="仿宋" w:cs="宋体"/>
                <w:b/>
                <w:sz w:val="24"/>
                <w:szCs w:val="24"/>
              </w:rPr>
            </w:pPr>
            <w:r>
              <w:rPr>
                <w:rFonts w:hint="eastAsia" w:ascii="仿宋" w:hAnsi="仿宋" w:eastAsia="仿宋"/>
                <w:b/>
              </w:rPr>
              <w:t>2</w:t>
            </w:r>
          </w:p>
        </w:tc>
        <w:tc>
          <w:tcPr>
            <w:tcW w:w="16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仿宋" w:hAnsi="仿宋" w:eastAsia="仿宋" w:cs="宋体"/>
                <w:b/>
                <w:sz w:val="24"/>
                <w:szCs w:val="24"/>
              </w:rPr>
            </w:pPr>
            <w:r>
              <w:rPr>
                <w:rFonts w:hint="eastAsia" w:ascii="仿宋" w:hAnsi="仿宋" w:eastAsia="仿宋"/>
                <w:b/>
              </w:rPr>
              <w:t>3</w:t>
            </w:r>
          </w:p>
        </w:tc>
        <w:tc>
          <w:tcPr>
            <w:tcW w:w="16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仿宋" w:hAnsi="仿宋" w:eastAsia="仿宋" w:cs="宋体"/>
                <w:b/>
                <w:sz w:val="24"/>
                <w:szCs w:val="24"/>
              </w:rPr>
            </w:pPr>
            <w:r>
              <w:rPr>
                <w:rFonts w:hint="eastAsia" w:ascii="仿宋" w:hAnsi="仿宋" w:eastAsia="仿宋"/>
                <w:b/>
              </w:rPr>
              <w:t>4</w:t>
            </w:r>
          </w:p>
        </w:tc>
        <w:tc>
          <w:tcPr>
            <w:tcW w:w="16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仿宋" w:hAnsi="仿宋" w:eastAsia="仿宋" w:cs="宋体"/>
                <w:b/>
                <w:sz w:val="24"/>
                <w:szCs w:val="24"/>
              </w:rPr>
            </w:pPr>
            <w:r>
              <w:rPr>
                <w:rFonts w:hint="eastAsia" w:ascii="仿宋" w:hAnsi="仿宋" w:eastAsia="仿宋"/>
                <w:b/>
              </w:rPr>
              <w:t>5</w:t>
            </w:r>
          </w:p>
        </w:tc>
        <w:tc>
          <w:tcPr>
            <w:tcW w:w="16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仿宋" w:hAnsi="仿宋" w:eastAsia="仿宋" w:cs="宋体"/>
                <w:b/>
                <w:sz w:val="24"/>
                <w:szCs w:val="24"/>
              </w:rPr>
            </w:pPr>
            <w:r>
              <w:rPr>
                <w:rFonts w:hint="eastAsia" w:ascii="仿宋" w:hAnsi="仿宋" w:eastAsia="仿宋"/>
                <w:b/>
              </w:rPr>
              <w:t>6</w:t>
            </w:r>
          </w:p>
        </w:tc>
        <w:tc>
          <w:tcPr>
            <w:tcW w:w="23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仿宋" w:hAnsi="仿宋" w:eastAsia="仿宋" w:cs="宋体"/>
                <w:b/>
                <w:sz w:val="24"/>
                <w:szCs w:val="24"/>
              </w:rPr>
            </w:pPr>
            <w:r>
              <w:rPr>
                <w:rFonts w:hint="eastAsia" w:ascii="仿宋" w:hAnsi="仿宋" w:eastAsia="仿宋"/>
                <w:b/>
              </w:rPr>
              <w:t>7</w:t>
            </w:r>
          </w:p>
        </w:tc>
      </w:tr>
      <w:tr>
        <w:tblPrEx>
          <w:tblCellMar>
            <w:top w:w="0" w:type="dxa"/>
            <w:left w:w="0" w:type="dxa"/>
            <w:bottom w:w="0" w:type="dxa"/>
            <w:right w:w="0" w:type="dxa"/>
          </w:tblCellMar>
        </w:tblPrEx>
        <w:trPr>
          <w:trHeight w:val="450" w:hRule="atLeast"/>
        </w:trPr>
        <w:tc>
          <w:tcPr>
            <w:tcW w:w="3701"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1789.89</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1789.89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450"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cs="宋体" w:asciiTheme="minorEastAsia" w:hAnsiTheme="minorEastAsia"/>
                <w:szCs w:val="21"/>
              </w:rPr>
            </w:pPr>
            <w:r>
              <w:rPr>
                <w:rFonts w:hint="eastAsia" w:asciiTheme="minorEastAsia" w:hAnsiTheme="minorEastAsia"/>
                <w:szCs w:val="21"/>
              </w:rPr>
              <w:t>201</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一般公共服务支出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ind w:right="420"/>
              <w:jc w:val="center"/>
              <w:rPr>
                <w:rFonts w:ascii="仿宋" w:hAnsi="仿宋" w:eastAsia="仿宋" w:cs="宋体"/>
                <w:b/>
                <w:szCs w:val="21"/>
              </w:rPr>
            </w:pPr>
            <w:r>
              <w:rPr>
                <w:rFonts w:hint="eastAsia" w:ascii="仿宋" w:hAnsi="仿宋" w:eastAsia="仿宋"/>
                <w:b/>
                <w:szCs w:val="21"/>
              </w:rPr>
              <w:t xml:space="preserve">   857.26</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ind w:right="420"/>
              <w:jc w:val="center"/>
              <w:rPr>
                <w:rFonts w:ascii="仿宋" w:hAnsi="仿宋" w:eastAsia="仿宋" w:cs="宋体"/>
                <w:b/>
                <w:szCs w:val="21"/>
              </w:rPr>
            </w:pPr>
            <w:r>
              <w:rPr>
                <w:rFonts w:hint="eastAsia" w:ascii="仿宋" w:hAnsi="仿宋" w:eastAsia="仿宋"/>
                <w:b/>
                <w:szCs w:val="21"/>
              </w:rPr>
              <w:t xml:space="preserve">   857.26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523"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atLeast"/>
              <w:jc w:val="left"/>
              <w:rPr>
                <w:rFonts w:cs="宋体" w:asciiTheme="minorEastAsia" w:hAnsiTheme="minorEastAsia"/>
                <w:szCs w:val="21"/>
              </w:rPr>
            </w:pPr>
            <w:r>
              <w:rPr>
                <w:rFonts w:hint="eastAsia" w:cs="宋体" w:asciiTheme="minorEastAsia" w:hAnsiTheme="minorEastAsia"/>
                <w:szCs w:val="21"/>
              </w:rPr>
              <w:t>20103</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atLeast"/>
              <w:rPr>
                <w:rFonts w:ascii="宋体" w:hAnsi="宋体" w:eastAsia="宋体" w:cs="宋体"/>
                <w:sz w:val="24"/>
                <w:szCs w:val="24"/>
              </w:rPr>
            </w:pPr>
            <w:r>
              <w:rPr>
                <w:rFonts w:hint="eastAsia"/>
              </w:rPr>
              <w:t>政府办公厅（室）及相关机构事务支出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atLeast"/>
              <w:jc w:val="center"/>
              <w:rPr>
                <w:rFonts w:ascii="仿宋" w:hAnsi="仿宋" w:eastAsia="仿宋" w:cs="宋体"/>
                <w:b/>
                <w:szCs w:val="21"/>
              </w:rPr>
            </w:pPr>
            <w:r>
              <w:rPr>
                <w:rFonts w:hint="eastAsia" w:ascii="仿宋" w:hAnsi="仿宋" w:eastAsia="仿宋"/>
                <w:b/>
                <w:szCs w:val="21"/>
              </w:rPr>
              <w:t>0.05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atLeast"/>
              <w:jc w:val="center"/>
              <w:rPr>
                <w:rFonts w:ascii="仿宋" w:hAnsi="仿宋" w:eastAsia="仿宋" w:cs="宋体"/>
                <w:b/>
                <w:szCs w:val="21"/>
              </w:rPr>
            </w:pPr>
            <w:r>
              <w:rPr>
                <w:rFonts w:hint="eastAsia" w:ascii="仿宋" w:hAnsi="仿宋" w:eastAsia="仿宋"/>
                <w:b/>
                <w:szCs w:val="21"/>
              </w:rPr>
              <w:t>0.05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450"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cs="宋体" w:asciiTheme="minorEastAsia" w:hAnsiTheme="minorEastAsia"/>
                <w:szCs w:val="21"/>
              </w:rPr>
            </w:pPr>
            <w:r>
              <w:rPr>
                <w:rFonts w:hint="eastAsia" w:asciiTheme="minorEastAsia" w:hAnsiTheme="minorEastAsia"/>
                <w:szCs w:val="21"/>
              </w:rPr>
              <w:t>2010399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其他政府办公厅（室）及相关机构事务支出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0.05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0.05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cs="宋体" w:asciiTheme="minorEastAsia" w:hAnsiTheme="minorEastAsia"/>
                <w:szCs w:val="21"/>
              </w:rPr>
            </w:pPr>
            <w:r>
              <w:rPr>
                <w:rFonts w:hint="eastAsia" w:asciiTheme="minorEastAsia" w:hAnsiTheme="minorEastAsia"/>
                <w:szCs w:val="21"/>
              </w:rPr>
              <w:t>20107</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税收事务</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6.69</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6.69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cs="宋体" w:asciiTheme="minorEastAsia" w:hAnsiTheme="minorEastAsia"/>
                <w:szCs w:val="21"/>
              </w:rPr>
            </w:pPr>
            <w:r>
              <w:rPr>
                <w:rFonts w:hint="eastAsia" w:asciiTheme="minorEastAsia" w:hAnsiTheme="minorEastAsia"/>
                <w:szCs w:val="21"/>
              </w:rPr>
              <w:t>2010799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其他税收事务支出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6.69</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6.69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cs="宋体" w:asciiTheme="minorEastAsia" w:hAnsiTheme="minorEastAsia"/>
                <w:szCs w:val="21"/>
              </w:rPr>
            </w:pPr>
            <w:r>
              <w:rPr>
                <w:rFonts w:hint="eastAsia" w:asciiTheme="minorEastAsia" w:hAnsiTheme="minorEastAsia"/>
                <w:szCs w:val="21"/>
              </w:rPr>
              <w:t>20113</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商贸事务</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847.92</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b/>
                <w:szCs w:val="21"/>
              </w:rPr>
              <w:t>847.92</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2011301</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行政运行</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356.35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356.35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2011308</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招商引资</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78.23</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78.23</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2011399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其他商贸事务支出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413.34</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413.34</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20199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其他一般公共服务支出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2.59</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2.59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2019999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其他一般公共服务支出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2.59</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2.59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208</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社会保障和就业支出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91.46</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91.46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20805</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行政事业单位养老支出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33.65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33.65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450"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2080505</w:t>
            </w:r>
          </w:p>
        </w:tc>
        <w:tc>
          <w:tcPr>
            <w:tcW w:w="2693" w:type="dxa"/>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机关事业单位基本养老保险缴费支出</w:t>
            </w:r>
          </w:p>
        </w:tc>
        <w:tc>
          <w:tcPr>
            <w:tcW w:w="141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33.65</w:t>
            </w:r>
          </w:p>
        </w:tc>
        <w:tc>
          <w:tcPr>
            <w:tcW w:w="14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33.65</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450"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20808</w:t>
            </w:r>
          </w:p>
        </w:tc>
        <w:tc>
          <w:tcPr>
            <w:tcW w:w="2693" w:type="dxa"/>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抚恤</w:t>
            </w:r>
          </w:p>
        </w:tc>
        <w:tc>
          <w:tcPr>
            <w:tcW w:w="141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56.24</w:t>
            </w:r>
          </w:p>
        </w:tc>
        <w:tc>
          <w:tcPr>
            <w:tcW w:w="14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56.24</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450"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2080801</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死亡抚恤</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52.36</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52.36</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450"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2080899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其他优抚支出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3.88</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3.88</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450"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heme="minorEastAsia" w:hAnsiTheme="minorEastAsia"/>
                <w:szCs w:val="21"/>
              </w:rPr>
            </w:pPr>
            <w:r>
              <w:rPr>
                <w:rFonts w:hint="eastAsia" w:asciiTheme="minorEastAsia" w:hAnsiTheme="minorEastAsia"/>
                <w:szCs w:val="21"/>
              </w:rPr>
              <w:t>20827</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财政对其他社会保险基金的补助</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1.57</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 w:hAnsi="仿宋" w:eastAsia="仿宋"/>
                <w:b/>
                <w:szCs w:val="21"/>
              </w:rPr>
            </w:pPr>
            <w:r>
              <w:rPr>
                <w:rFonts w:hint="eastAsia" w:ascii="仿宋" w:hAnsi="仿宋" w:eastAsia="仿宋"/>
                <w:b/>
                <w:szCs w:val="21"/>
              </w:rPr>
              <w:t>1.57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2082701</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财政对失业保险基金的补助</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0.37</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0.37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2082702</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财政对工伤保险基金的补助</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1.2</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1.2</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卫生健康支出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21011</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行政事业单位医疗</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2101199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其他行政事业单位医疗支出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城乡社区支出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21203</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城乡社区公共设施</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2120399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其他城乡社区公共设施支出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商业服务业等支出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21602</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商业流通事务</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2160299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其他商业流通事务支出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住房保障支出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2210201</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住房公积金</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其他支出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其他支出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391" w:hRule="atLeast"/>
        </w:trPr>
        <w:tc>
          <w:tcPr>
            <w:tcW w:w="100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2299999</w:t>
            </w:r>
          </w:p>
        </w:tc>
        <w:tc>
          <w:tcPr>
            <w:tcW w:w="269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spacing w:line="240" w:lineRule="exact"/>
              <w:rPr>
                <w:rFonts w:hint="eastAsia"/>
              </w:rPr>
            </w:pPr>
            <w:r>
              <w:rPr>
                <w:rFonts w:hint="eastAsia"/>
              </w:rPr>
              <w:t>其他支出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c>
          <w:tcPr>
            <w:tcW w:w="2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240" w:lineRule="exact"/>
              <w:jc w:val="center"/>
              <w:rPr>
                <w:rFonts w:ascii="仿宋" w:hAnsi="仿宋" w:eastAsia="仿宋" w:cs="宋体"/>
                <w:b/>
                <w:szCs w:val="21"/>
              </w:rPr>
            </w:pPr>
            <w:r>
              <w:rPr>
                <w:rFonts w:hint="eastAsia" w:ascii="仿宋" w:hAnsi="仿宋" w:eastAsia="仿宋" w:cs="宋体"/>
                <w:b/>
                <w:szCs w:val="21"/>
              </w:rPr>
              <w:t>0</w:t>
            </w:r>
          </w:p>
        </w:tc>
      </w:tr>
      <w:tr>
        <w:tblPrEx>
          <w:tblCellMar>
            <w:top w:w="0" w:type="dxa"/>
            <w:left w:w="0" w:type="dxa"/>
            <w:bottom w:w="0" w:type="dxa"/>
            <w:right w:w="0" w:type="dxa"/>
          </w:tblCellMar>
        </w:tblPrEx>
        <w:trPr>
          <w:trHeight w:val="615" w:hRule="atLeast"/>
        </w:trPr>
        <w:tc>
          <w:tcPr>
            <w:tcW w:w="15428" w:type="dxa"/>
            <w:gridSpan w:val="11"/>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5"/>
        <w:tblW w:w="15675" w:type="dxa"/>
        <w:tblInd w:w="93" w:type="dxa"/>
        <w:tblLayout w:type="autofit"/>
        <w:tblCellMar>
          <w:top w:w="0" w:type="dxa"/>
          <w:left w:w="108" w:type="dxa"/>
          <w:bottom w:w="0" w:type="dxa"/>
          <w:right w:w="108" w:type="dxa"/>
        </w:tblCellMar>
      </w:tblPr>
      <w:tblGrid>
        <w:gridCol w:w="1236"/>
        <w:gridCol w:w="263"/>
        <w:gridCol w:w="2485"/>
        <w:gridCol w:w="1276"/>
        <w:gridCol w:w="425"/>
        <w:gridCol w:w="1560"/>
        <w:gridCol w:w="141"/>
        <w:gridCol w:w="1701"/>
        <w:gridCol w:w="1853"/>
        <w:gridCol w:w="1991"/>
        <w:gridCol w:w="2744"/>
      </w:tblGrid>
      <w:tr>
        <w:tblPrEx>
          <w:tblCellMar>
            <w:top w:w="0" w:type="dxa"/>
            <w:left w:w="108" w:type="dxa"/>
            <w:bottom w:w="0" w:type="dxa"/>
            <w:right w:w="108" w:type="dxa"/>
          </w:tblCellMar>
        </w:tblPrEx>
        <w:trPr>
          <w:trHeight w:val="807" w:hRule="atLeast"/>
        </w:trPr>
        <w:tc>
          <w:tcPr>
            <w:tcW w:w="15675"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8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3984" w:type="dxa"/>
            <w:gridSpan w:val="3"/>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部门：洪江市商务局　</w:t>
            </w:r>
          </w:p>
        </w:tc>
        <w:tc>
          <w:tcPr>
            <w:tcW w:w="127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5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398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85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485"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8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39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0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0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5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391" w:hRule="atLeast"/>
        </w:trPr>
        <w:tc>
          <w:tcPr>
            <w:tcW w:w="39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1789.89</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553.66</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1236.23</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cs="宋体" w:asciiTheme="minorEastAsia" w:hAnsiTheme="minorEastAsia"/>
                <w:szCs w:val="21"/>
              </w:rPr>
            </w:pPr>
            <w:r>
              <w:rPr>
                <w:rFonts w:hint="eastAsia" w:asciiTheme="minorEastAsia" w:hAnsiTheme="minorEastAsia"/>
                <w:szCs w:val="21"/>
              </w:rPr>
              <w:t>201</w:t>
            </w:r>
          </w:p>
        </w:tc>
        <w:tc>
          <w:tcPr>
            <w:tcW w:w="2485"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sz w:val="24"/>
                <w:szCs w:val="24"/>
              </w:rPr>
            </w:pPr>
            <w:r>
              <w:rPr>
                <w:rFonts w:hint="eastAsia"/>
              </w:rPr>
              <w:t>一般公共服务支出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ind w:right="420"/>
              <w:jc w:val="center"/>
              <w:rPr>
                <w:rFonts w:ascii="仿宋" w:hAnsi="仿宋" w:eastAsia="仿宋" w:cs="宋体"/>
                <w:b/>
                <w:szCs w:val="21"/>
              </w:rPr>
            </w:pPr>
            <w:r>
              <w:rPr>
                <w:rFonts w:hint="eastAsia" w:ascii="仿宋" w:hAnsi="仿宋" w:eastAsia="仿宋"/>
                <w:b/>
                <w:szCs w:val="21"/>
              </w:rPr>
              <w:t xml:space="preserve">    857.26</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361.73</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495.53</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atLeast"/>
              <w:jc w:val="left"/>
              <w:rPr>
                <w:rFonts w:cs="宋体" w:asciiTheme="minorEastAsia" w:hAnsiTheme="minorEastAsia"/>
                <w:szCs w:val="21"/>
              </w:rPr>
            </w:pPr>
            <w:r>
              <w:rPr>
                <w:rFonts w:hint="eastAsia" w:cs="宋体" w:asciiTheme="minorEastAsia" w:hAnsiTheme="minorEastAsia"/>
                <w:szCs w:val="21"/>
              </w:rPr>
              <w:t>20103</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atLeast"/>
              <w:rPr>
                <w:rFonts w:ascii="宋体" w:hAnsi="宋体" w:eastAsia="宋体" w:cs="宋体"/>
                <w:sz w:val="24"/>
                <w:szCs w:val="24"/>
              </w:rPr>
            </w:pPr>
            <w:r>
              <w:rPr>
                <w:rFonts w:hint="eastAsia"/>
              </w:rPr>
              <w:t>政府办公厅（室）及相关机构事务支出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atLeast"/>
              <w:jc w:val="center"/>
              <w:rPr>
                <w:rFonts w:ascii="仿宋" w:hAnsi="仿宋" w:eastAsia="仿宋" w:cs="宋体"/>
                <w:b/>
                <w:szCs w:val="21"/>
              </w:rPr>
            </w:pPr>
            <w:r>
              <w:rPr>
                <w:rFonts w:hint="eastAsia" w:ascii="仿宋" w:hAnsi="仿宋" w:eastAsia="仿宋"/>
                <w:b/>
                <w:szCs w:val="21"/>
              </w:rPr>
              <w:t>0.05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0.05</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cs="宋体" w:asciiTheme="minorEastAsia" w:hAnsiTheme="minorEastAsia"/>
                <w:szCs w:val="21"/>
              </w:rPr>
            </w:pPr>
            <w:r>
              <w:rPr>
                <w:rFonts w:hint="eastAsia" w:asciiTheme="minorEastAsia" w:hAnsiTheme="minorEastAsia"/>
                <w:szCs w:val="21"/>
              </w:rPr>
              <w:t>2010399</w:t>
            </w:r>
          </w:p>
        </w:tc>
        <w:tc>
          <w:tcPr>
            <w:tcW w:w="2485"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sz w:val="24"/>
                <w:szCs w:val="24"/>
              </w:rPr>
            </w:pPr>
            <w:r>
              <w:rPr>
                <w:rFonts w:hint="eastAsia"/>
              </w:rPr>
              <w:t>其他政府办公厅（室）及相关机构事务支出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ascii="仿宋" w:hAnsi="仿宋" w:eastAsia="仿宋" w:cs="宋体"/>
                <w:b/>
                <w:szCs w:val="21"/>
              </w:rPr>
            </w:pPr>
            <w:r>
              <w:rPr>
                <w:rFonts w:hint="eastAsia" w:ascii="仿宋" w:hAnsi="仿宋" w:eastAsia="仿宋"/>
                <w:b/>
                <w:szCs w:val="21"/>
              </w:rPr>
              <w:t>0.05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0.05</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cs="宋体" w:asciiTheme="minorEastAsia" w:hAnsiTheme="minorEastAsia"/>
                <w:szCs w:val="21"/>
              </w:rPr>
            </w:pPr>
            <w:r>
              <w:rPr>
                <w:rFonts w:hint="eastAsia" w:asciiTheme="minorEastAsia" w:hAnsiTheme="minorEastAsia"/>
                <w:szCs w:val="21"/>
              </w:rPr>
              <w:t>20107</w:t>
            </w:r>
          </w:p>
        </w:tc>
        <w:tc>
          <w:tcPr>
            <w:tcW w:w="2485"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sz w:val="24"/>
                <w:szCs w:val="24"/>
              </w:rPr>
            </w:pPr>
            <w:r>
              <w:rPr>
                <w:rFonts w:hint="eastAsia"/>
              </w:rPr>
              <w:t>税收事务</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ascii="仿宋" w:hAnsi="仿宋" w:eastAsia="仿宋" w:cs="宋体"/>
                <w:b/>
                <w:szCs w:val="21"/>
              </w:rPr>
            </w:pPr>
            <w:r>
              <w:rPr>
                <w:rFonts w:hint="eastAsia" w:ascii="仿宋" w:hAnsi="仿宋" w:eastAsia="仿宋"/>
                <w:b/>
                <w:szCs w:val="21"/>
              </w:rPr>
              <w:t>6.69</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1.51</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5.18</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cs="宋体" w:asciiTheme="minorEastAsia" w:hAnsiTheme="minorEastAsia"/>
                <w:szCs w:val="21"/>
              </w:rPr>
            </w:pPr>
            <w:r>
              <w:rPr>
                <w:rFonts w:hint="eastAsia" w:asciiTheme="minorEastAsia" w:hAnsiTheme="minorEastAsia"/>
                <w:szCs w:val="21"/>
              </w:rPr>
              <w:t>2010799</w:t>
            </w:r>
          </w:p>
        </w:tc>
        <w:tc>
          <w:tcPr>
            <w:tcW w:w="2485"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sz w:val="24"/>
                <w:szCs w:val="24"/>
              </w:rPr>
            </w:pPr>
            <w:r>
              <w:rPr>
                <w:rFonts w:hint="eastAsia"/>
              </w:rPr>
              <w:t>其他税收事务支出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ascii="仿宋" w:hAnsi="仿宋" w:eastAsia="仿宋" w:cs="宋体"/>
                <w:b/>
                <w:szCs w:val="21"/>
              </w:rPr>
            </w:pPr>
            <w:r>
              <w:rPr>
                <w:rFonts w:hint="eastAsia" w:ascii="仿宋" w:hAnsi="仿宋" w:eastAsia="仿宋"/>
                <w:b/>
                <w:szCs w:val="21"/>
              </w:rPr>
              <w:t>6.69</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1.51</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5.18</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cs="宋体" w:asciiTheme="minorEastAsia" w:hAnsiTheme="minorEastAsia"/>
                <w:szCs w:val="21"/>
              </w:rPr>
            </w:pPr>
            <w:r>
              <w:rPr>
                <w:rFonts w:hint="eastAsia" w:asciiTheme="minorEastAsia" w:hAnsiTheme="minorEastAsia"/>
                <w:szCs w:val="21"/>
              </w:rPr>
              <w:t>20113</w:t>
            </w:r>
          </w:p>
        </w:tc>
        <w:tc>
          <w:tcPr>
            <w:tcW w:w="2485"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sz w:val="24"/>
                <w:szCs w:val="24"/>
              </w:rPr>
            </w:pPr>
            <w:r>
              <w:rPr>
                <w:rFonts w:hint="eastAsia"/>
              </w:rPr>
              <w:t>商贸事务</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ascii="仿宋" w:hAnsi="仿宋" w:eastAsia="仿宋" w:cs="宋体"/>
                <w:b/>
                <w:szCs w:val="21"/>
              </w:rPr>
            </w:pPr>
            <w:r>
              <w:rPr>
                <w:rFonts w:hint="eastAsia" w:ascii="仿宋" w:hAnsi="仿宋" w:eastAsia="仿宋"/>
                <w:b/>
                <w:szCs w:val="21"/>
              </w:rPr>
              <w:t>847.92</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359.04</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488.88</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2011301</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行政运行</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356.35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356.35</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2011308</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招商引资</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78.23</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2.7</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75.53</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2011399</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其他商贸事务支出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413.34</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413.34</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20199</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其他一般公共服务支出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2.59</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1.12</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1.47</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2019999</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其他一般公共服务支出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2.59</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1.12</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1.47</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208</w:t>
            </w:r>
          </w:p>
        </w:tc>
        <w:tc>
          <w:tcPr>
            <w:tcW w:w="2485"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rPr>
            </w:pPr>
            <w:r>
              <w:rPr>
                <w:rFonts w:hint="eastAsia"/>
              </w:rPr>
              <w:t>社会保障和就业支出</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91.46</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91.46</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20805</w:t>
            </w:r>
          </w:p>
        </w:tc>
        <w:tc>
          <w:tcPr>
            <w:tcW w:w="2485"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rPr>
            </w:pPr>
            <w:r>
              <w:rPr>
                <w:rFonts w:hint="eastAsia"/>
              </w:rPr>
              <w:t>行政事业单位养老支出</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33.65</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33.65</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2080505</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机关事业单位基本养老保险缴费支出</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33.65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33.65</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20808</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抚恤</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56.24</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56.24</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2080801</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死亡抚恤</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52.36</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52.36</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2080899</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其他优抚支出</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3.88</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3.88</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Theme="minorEastAsia" w:hAnsiTheme="minorEastAsia"/>
                <w:szCs w:val="21"/>
              </w:rPr>
            </w:pPr>
            <w:r>
              <w:rPr>
                <w:rFonts w:hint="eastAsia" w:asciiTheme="minorEastAsia" w:hAnsiTheme="minorEastAsia"/>
                <w:szCs w:val="21"/>
              </w:rPr>
              <w:t>20827</w:t>
            </w:r>
          </w:p>
        </w:tc>
        <w:tc>
          <w:tcPr>
            <w:tcW w:w="2485" w:type="dxa"/>
            <w:tcBorders>
              <w:top w:val="nil"/>
              <w:left w:val="nil"/>
              <w:bottom w:val="single" w:color="auto" w:sz="4" w:space="0"/>
              <w:right w:val="single" w:color="auto" w:sz="4" w:space="0"/>
            </w:tcBorders>
            <w:shd w:val="clear" w:color="000000" w:fill="FFFFFF"/>
            <w:noWrap/>
            <w:vAlign w:val="center"/>
          </w:tcPr>
          <w:p>
            <w:pPr>
              <w:rPr>
                <w:rFonts w:hint="eastAsia"/>
              </w:rPr>
            </w:pPr>
            <w:r>
              <w:rPr>
                <w:rFonts w:hint="eastAsia"/>
              </w:rPr>
              <w:t>财政对其他社会保险基金的补助</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1.57</w:t>
            </w:r>
          </w:p>
        </w:tc>
        <w:tc>
          <w:tcPr>
            <w:tcW w:w="1701"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b/>
                <w:szCs w:val="21"/>
              </w:rPr>
            </w:pPr>
            <w:r>
              <w:rPr>
                <w:rFonts w:hint="eastAsia" w:ascii="仿宋" w:hAnsi="仿宋" w:eastAsia="仿宋"/>
                <w:b/>
                <w:szCs w:val="21"/>
              </w:rPr>
              <w:t>1.57</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2082701</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财政对失业保险基金的补助</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0.37</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0.37</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2082702</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财政对工伤保险基金的补助</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1.2</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1.2</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卫生健康支出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21011</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行政事业单位医疗</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2101199</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其他行政事业单位医疗支出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城乡社区支出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2.28</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72.26</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21203</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城乡社区公共设施</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2.28</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72.26</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2120399</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其他城乡社区公共设施支出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2.28</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72.26</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商业服务业等支出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59.93</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646.33</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21602</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商业流通事务</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59.93</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646.33</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2160299</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其他商业流通事务支出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59.93</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646.33</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住房保障支出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15.5</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22102</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住房改革支出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15.5</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2210201</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住房公积金</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15.5</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其他支出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4.39</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22.12</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22999</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其他支出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4.39</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22.12</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2299999</w:t>
            </w:r>
          </w:p>
        </w:tc>
        <w:tc>
          <w:tcPr>
            <w:tcW w:w="2485" w:type="dxa"/>
            <w:tcBorders>
              <w:top w:val="nil"/>
              <w:left w:val="nil"/>
              <w:bottom w:val="single" w:color="auto" w:sz="4" w:space="0"/>
              <w:right w:val="single" w:color="auto" w:sz="4" w:space="0"/>
            </w:tcBorders>
            <w:shd w:val="clear" w:color="000000" w:fill="FFFFFF"/>
            <w:noWrap/>
            <w:vAlign w:val="center"/>
          </w:tcPr>
          <w:p>
            <w:pPr>
              <w:spacing w:line="240" w:lineRule="exact"/>
              <w:rPr>
                <w:rFonts w:hint="eastAsia"/>
              </w:rPr>
            </w:pPr>
            <w:r>
              <w:rPr>
                <w:rFonts w:hint="eastAsia"/>
              </w:rPr>
              <w:t>其他支出</w:t>
            </w:r>
          </w:p>
        </w:tc>
        <w:tc>
          <w:tcPr>
            <w:tcW w:w="1701" w:type="dxa"/>
            <w:gridSpan w:val="2"/>
            <w:tcBorders>
              <w:top w:val="nil"/>
              <w:left w:val="nil"/>
              <w:bottom w:val="single" w:color="auto" w:sz="4" w:space="0"/>
              <w:right w:val="single" w:color="auto" w:sz="4" w:space="0"/>
            </w:tcBorders>
            <w:shd w:val="clear" w:color="auto" w:fill="auto"/>
            <w:noWrap/>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17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4.39</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22.12</w:t>
            </w:r>
          </w:p>
        </w:tc>
        <w:tc>
          <w:tcPr>
            <w:tcW w:w="185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828" w:hRule="atLeast"/>
        </w:trPr>
        <w:tc>
          <w:tcPr>
            <w:tcW w:w="15675"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p>
        </w:tc>
      </w:tr>
    </w:tbl>
    <w:p>
      <w:pPr>
        <w:widowControl/>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部门：洪江市商务局</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1789.89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857.26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857.26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91.46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91.46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18.37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18.37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74.54</w:t>
            </w:r>
          </w:p>
        </w:tc>
        <w:tc>
          <w:tcPr>
            <w:tcW w:w="1394" w:type="dxa"/>
            <w:tcBorders>
              <w:top w:val="nil"/>
              <w:left w:val="nil"/>
              <w:bottom w:val="single" w:color="auto" w:sz="4" w:space="0"/>
              <w:right w:val="single" w:color="auto" w:sz="4" w:space="0"/>
            </w:tcBorders>
            <w:shd w:val="clear" w:color="auto" w:fill="auto"/>
            <w:noWrap/>
            <w:vAlign w:val="center"/>
          </w:tcPr>
          <w:p>
            <w:pPr>
              <w:widowControl/>
              <w:ind w:firstLine="330" w:firstLineChars="150"/>
              <w:rPr>
                <w:rFonts w:ascii="宋体" w:hAnsi="宋体" w:eastAsia="宋体" w:cs="宋体"/>
                <w:kern w:val="0"/>
                <w:sz w:val="22"/>
              </w:rPr>
            </w:pPr>
            <w:r>
              <w:rPr>
                <w:rFonts w:hint="eastAsia" w:ascii="宋体" w:hAnsi="宋体" w:eastAsia="宋体" w:cs="宋体"/>
                <w:kern w:val="0"/>
                <w:sz w:val="22"/>
              </w:rPr>
              <w:t>74.54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706.25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706.25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15.5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15.5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2"/>
              </w:rPr>
              <w:t>七、其他支出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26.51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26.51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1789.89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1789.89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1789.89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1789.89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1789.89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1789.89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0　</w:t>
            </w:r>
          </w:p>
        </w:tc>
        <w:tc>
          <w:tcPr>
            <w:tcW w:w="1573" w:type="dxa"/>
            <w:tcBorders>
              <w:top w:val="nil"/>
              <w:left w:val="nil"/>
              <w:bottom w:val="single" w:color="auto" w:sz="4" w:space="0"/>
              <w:right w:val="single" w:color="auto" w:sz="4" w:space="0"/>
            </w:tcBorders>
            <w:shd w:val="clear" w:color="auto" w:fill="auto"/>
            <w:noWrap/>
            <w:vAlign w:val="center"/>
          </w:tcPr>
          <w:p>
            <w:pPr>
              <w:widowControl/>
              <w:ind w:right="440"/>
              <w:jc w:val="center"/>
              <w:rPr>
                <w:rFonts w:ascii="宋体" w:hAnsi="宋体" w:eastAsia="宋体" w:cs="宋体"/>
                <w:kern w:val="0"/>
                <w:sz w:val="22"/>
              </w:rPr>
            </w:pPr>
            <w:r>
              <w:rPr>
                <w:rFonts w:hint="eastAsia" w:ascii="宋体" w:hAnsi="宋体" w:eastAsia="宋体" w:cs="宋体"/>
                <w:kern w:val="0"/>
                <w:sz w:val="22"/>
              </w:rPr>
              <w:t xml:space="preserve">    0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rPr>
        <w:t xml:space="preserve">                      </w:t>
      </w:r>
      <w:r>
        <w:rPr>
          <w:rFonts w:ascii="Times New Roman" w:hAnsi="Times New Roman" w:eastAsia="方正小标宋_GBK" w:cs="Times New Roman"/>
          <w:kern w:val="0"/>
          <w:sz w:val="36"/>
          <w:szCs w:val="36"/>
        </w:rPr>
        <w:t>一般公共预算财政拨款支出决算表</w:t>
      </w:r>
      <w:bookmarkEnd w:id="1"/>
      <w:r>
        <w:rPr>
          <w:rFonts w:hint="eastAsia" w:ascii="Times New Roman" w:hAnsi="Times New Roman" w:eastAsia="方正小标宋_GBK" w:cs="Times New Roman"/>
          <w:kern w:val="0"/>
          <w:sz w:val="36"/>
          <w:szCs w:val="36"/>
        </w:rPr>
        <w:t xml:space="preserve">                 </w:t>
      </w:r>
      <w:r>
        <w:rPr>
          <w:rFonts w:ascii="Times New Roman" w:hAnsi="Times New Roman" w:eastAsia="仿宋_GB2312" w:cs="Times New Roman"/>
          <w:color w:val="000000"/>
          <w:kern w:val="0"/>
          <w:szCs w:val="21"/>
        </w:rPr>
        <w:t>公开05表</w:t>
      </w:r>
    </w:p>
    <w:p>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洪江市商务局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单位：万</w:t>
      </w:r>
      <w:r>
        <w:rPr>
          <w:rFonts w:hint="eastAsia" w:ascii="Times New Roman" w:hAnsi="Times New Roman" w:eastAsia="仿宋_GB2312" w:cs="Times New Roman"/>
          <w:color w:val="000000"/>
          <w:kern w:val="0"/>
          <w:szCs w:val="21"/>
        </w:rPr>
        <w:t>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p>
    <w:tbl>
      <w:tblPr>
        <w:tblStyle w:val="5"/>
        <w:tblW w:w="14219" w:type="dxa"/>
        <w:jc w:val="center"/>
        <w:tblLayout w:type="autofit"/>
        <w:tblCellMar>
          <w:top w:w="0" w:type="dxa"/>
          <w:left w:w="108" w:type="dxa"/>
          <w:bottom w:w="0" w:type="dxa"/>
          <w:right w:w="108" w:type="dxa"/>
        </w:tblCellMar>
      </w:tblPr>
      <w:tblGrid>
        <w:gridCol w:w="1200"/>
        <w:gridCol w:w="4307"/>
        <w:gridCol w:w="3118"/>
        <w:gridCol w:w="2693"/>
        <w:gridCol w:w="2901"/>
      </w:tblGrid>
      <w:tr>
        <w:tblPrEx>
          <w:tblCellMar>
            <w:top w:w="0" w:type="dxa"/>
            <w:left w:w="108" w:type="dxa"/>
            <w:bottom w:w="0" w:type="dxa"/>
            <w:right w:w="108" w:type="dxa"/>
          </w:tblCellMar>
        </w:tblPrEx>
        <w:trPr>
          <w:trHeight w:val="405" w:hRule="atLeast"/>
          <w:jc w:val="center"/>
        </w:trPr>
        <w:tc>
          <w:tcPr>
            <w:tcW w:w="550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71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30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11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69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901"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30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118"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693"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01"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30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118"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693"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01"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91" w:hRule="atLeast"/>
          <w:jc w:val="center"/>
        </w:trPr>
        <w:tc>
          <w:tcPr>
            <w:tcW w:w="550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391" w:hRule="atLeast"/>
          <w:jc w:val="center"/>
        </w:trPr>
        <w:tc>
          <w:tcPr>
            <w:tcW w:w="550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imes New Roman"/>
                <w:b/>
                <w:kern w:val="0"/>
                <w:szCs w:val="21"/>
              </w:rPr>
            </w:pPr>
            <w:r>
              <w:rPr>
                <w:rFonts w:hint="eastAsia" w:ascii="仿宋" w:hAnsi="仿宋" w:eastAsia="仿宋" w:cs="Times New Roman"/>
                <w:b/>
                <w:kern w:val="0"/>
                <w:szCs w:val="21"/>
              </w:rPr>
              <w:t>1789.89</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imes New Roman"/>
                <w:b/>
                <w:kern w:val="0"/>
                <w:szCs w:val="21"/>
              </w:rPr>
            </w:pPr>
            <w:r>
              <w:rPr>
                <w:rFonts w:hint="eastAsia" w:ascii="仿宋" w:hAnsi="仿宋" w:eastAsia="仿宋" w:cs="Times New Roman"/>
                <w:b/>
                <w:kern w:val="0"/>
                <w:szCs w:val="21"/>
              </w:rPr>
              <w:t>553.66</w:t>
            </w:r>
            <w:r>
              <w:rPr>
                <w:rFonts w:ascii="仿宋" w:hAnsi="仿宋" w:eastAsia="仿宋" w:cs="Times New Roman"/>
                <w:b/>
                <w:kern w:val="0"/>
                <w:szCs w:val="21"/>
              </w:rPr>
              <w:t>　</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Times New Roman"/>
                <w:b/>
                <w:kern w:val="0"/>
                <w:szCs w:val="21"/>
              </w:rPr>
            </w:pPr>
            <w:r>
              <w:rPr>
                <w:rFonts w:hint="eastAsia" w:ascii="仿宋" w:hAnsi="仿宋" w:eastAsia="仿宋" w:cs="Times New Roman"/>
                <w:b/>
                <w:kern w:val="0"/>
                <w:szCs w:val="21"/>
              </w:rPr>
              <w:t>1236.23</w:t>
            </w:r>
            <w:r>
              <w:rPr>
                <w:rFonts w:ascii="仿宋" w:hAnsi="仿宋" w:eastAsia="仿宋" w:cs="Times New Roman"/>
                <w:b/>
                <w:kern w:val="0"/>
                <w:szCs w:val="21"/>
              </w:rPr>
              <w:t>　</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cs="宋体" w:asciiTheme="minorEastAsia" w:hAnsiTheme="minorEastAsia"/>
                <w:szCs w:val="21"/>
              </w:rPr>
            </w:pPr>
            <w:r>
              <w:rPr>
                <w:rFonts w:hint="eastAsia" w:asciiTheme="minorEastAsia" w:hAnsiTheme="minorEastAsia"/>
                <w:szCs w:val="21"/>
              </w:rPr>
              <w:t>201</w:t>
            </w:r>
          </w:p>
        </w:tc>
        <w:tc>
          <w:tcPr>
            <w:tcW w:w="4307" w:type="dxa"/>
            <w:tcBorders>
              <w:top w:val="nil"/>
              <w:left w:val="nil"/>
              <w:bottom w:val="single" w:color="auto" w:sz="4" w:space="0"/>
              <w:right w:val="single" w:color="auto" w:sz="4" w:space="0"/>
            </w:tcBorders>
            <w:shd w:val="clear" w:color="auto" w:fill="auto"/>
            <w:vAlign w:val="center"/>
          </w:tcPr>
          <w:p>
            <w:pPr>
              <w:rPr>
                <w:rFonts w:ascii="宋体" w:hAnsi="宋体" w:eastAsia="宋体" w:cs="宋体"/>
                <w:sz w:val="24"/>
                <w:szCs w:val="24"/>
              </w:rPr>
            </w:pPr>
            <w:r>
              <w:rPr>
                <w:rFonts w:hint="eastAsia"/>
              </w:rPr>
              <w:t>一般公共服务支出</w:t>
            </w:r>
          </w:p>
        </w:tc>
        <w:tc>
          <w:tcPr>
            <w:tcW w:w="3118" w:type="dxa"/>
            <w:tcBorders>
              <w:top w:val="nil"/>
              <w:left w:val="nil"/>
              <w:bottom w:val="single" w:color="auto" w:sz="4" w:space="0"/>
              <w:right w:val="single" w:color="auto" w:sz="4" w:space="0"/>
            </w:tcBorders>
            <w:shd w:val="clear" w:color="auto" w:fill="auto"/>
            <w:vAlign w:val="center"/>
          </w:tcPr>
          <w:p>
            <w:pPr>
              <w:ind w:right="420"/>
              <w:jc w:val="center"/>
              <w:rPr>
                <w:rFonts w:ascii="仿宋" w:hAnsi="仿宋" w:eastAsia="仿宋" w:cs="宋体"/>
                <w:b/>
                <w:szCs w:val="21"/>
              </w:rPr>
            </w:pPr>
            <w:r>
              <w:rPr>
                <w:rFonts w:hint="eastAsia" w:ascii="仿宋" w:hAnsi="仿宋" w:eastAsia="仿宋"/>
                <w:b/>
                <w:szCs w:val="21"/>
              </w:rPr>
              <w:t xml:space="preserve">    857.26</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361.73</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495.53</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atLeast"/>
              <w:jc w:val="left"/>
              <w:rPr>
                <w:rFonts w:cs="宋体" w:asciiTheme="minorEastAsia" w:hAnsiTheme="minorEastAsia"/>
                <w:szCs w:val="21"/>
              </w:rPr>
            </w:pPr>
            <w:r>
              <w:rPr>
                <w:rFonts w:hint="eastAsia" w:cs="宋体" w:asciiTheme="minorEastAsia" w:hAnsiTheme="minorEastAsia"/>
                <w:szCs w:val="21"/>
              </w:rPr>
              <w:t>20103</w:t>
            </w:r>
          </w:p>
        </w:tc>
        <w:tc>
          <w:tcPr>
            <w:tcW w:w="4307" w:type="dxa"/>
            <w:tcBorders>
              <w:top w:val="nil"/>
              <w:left w:val="nil"/>
              <w:bottom w:val="single" w:color="auto" w:sz="4" w:space="0"/>
              <w:right w:val="single" w:color="auto" w:sz="4" w:space="0"/>
            </w:tcBorders>
            <w:shd w:val="clear" w:color="auto" w:fill="auto"/>
            <w:vAlign w:val="center"/>
          </w:tcPr>
          <w:p>
            <w:pPr>
              <w:spacing w:line="240" w:lineRule="atLeast"/>
              <w:rPr>
                <w:rFonts w:ascii="宋体" w:hAnsi="宋体" w:eastAsia="宋体" w:cs="宋体"/>
                <w:sz w:val="24"/>
                <w:szCs w:val="24"/>
              </w:rPr>
            </w:pPr>
            <w:r>
              <w:rPr>
                <w:rFonts w:hint="eastAsia"/>
              </w:rPr>
              <w:t>政府办公厅（室）及相关机构事务支出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atLeast"/>
              <w:jc w:val="center"/>
              <w:rPr>
                <w:rFonts w:ascii="仿宋" w:hAnsi="仿宋" w:eastAsia="仿宋" w:cs="宋体"/>
                <w:b/>
                <w:szCs w:val="21"/>
              </w:rPr>
            </w:pPr>
            <w:r>
              <w:rPr>
                <w:rFonts w:hint="eastAsia" w:ascii="仿宋" w:hAnsi="仿宋" w:eastAsia="仿宋"/>
                <w:b/>
                <w:szCs w:val="21"/>
              </w:rPr>
              <w:t>0.05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0.05</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cs="宋体" w:asciiTheme="minorEastAsia" w:hAnsiTheme="minorEastAsia"/>
                <w:szCs w:val="21"/>
              </w:rPr>
            </w:pPr>
            <w:r>
              <w:rPr>
                <w:rFonts w:hint="eastAsia" w:asciiTheme="minorEastAsia" w:hAnsiTheme="minorEastAsia"/>
                <w:szCs w:val="21"/>
              </w:rPr>
              <w:t>2010399</w:t>
            </w:r>
          </w:p>
        </w:tc>
        <w:tc>
          <w:tcPr>
            <w:tcW w:w="4307" w:type="dxa"/>
            <w:tcBorders>
              <w:top w:val="nil"/>
              <w:left w:val="nil"/>
              <w:bottom w:val="single" w:color="auto" w:sz="4" w:space="0"/>
              <w:right w:val="single" w:color="auto" w:sz="4" w:space="0"/>
            </w:tcBorders>
            <w:shd w:val="clear" w:color="auto" w:fill="auto"/>
            <w:vAlign w:val="center"/>
          </w:tcPr>
          <w:p>
            <w:pPr>
              <w:rPr>
                <w:rFonts w:ascii="宋体" w:hAnsi="宋体" w:eastAsia="宋体" w:cs="宋体"/>
                <w:sz w:val="24"/>
                <w:szCs w:val="24"/>
              </w:rPr>
            </w:pPr>
            <w:r>
              <w:rPr>
                <w:rFonts w:hint="eastAsia"/>
              </w:rPr>
              <w:t>其他政府办公厅（室）及相关机构事务支出</w:t>
            </w:r>
          </w:p>
        </w:tc>
        <w:tc>
          <w:tcPr>
            <w:tcW w:w="311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宋体"/>
                <w:b/>
                <w:szCs w:val="21"/>
              </w:rPr>
            </w:pPr>
            <w:r>
              <w:rPr>
                <w:rFonts w:hint="eastAsia" w:ascii="仿宋" w:hAnsi="仿宋" w:eastAsia="仿宋"/>
                <w:b/>
                <w:szCs w:val="21"/>
              </w:rPr>
              <w:t>0.05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0.05</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cs="宋体" w:asciiTheme="minorEastAsia" w:hAnsiTheme="minorEastAsia"/>
                <w:szCs w:val="21"/>
              </w:rPr>
            </w:pPr>
            <w:r>
              <w:rPr>
                <w:rFonts w:hint="eastAsia" w:asciiTheme="minorEastAsia" w:hAnsiTheme="minorEastAsia"/>
                <w:szCs w:val="21"/>
              </w:rPr>
              <w:t>20107</w:t>
            </w:r>
          </w:p>
        </w:tc>
        <w:tc>
          <w:tcPr>
            <w:tcW w:w="4307" w:type="dxa"/>
            <w:tcBorders>
              <w:top w:val="nil"/>
              <w:left w:val="nil"/>
              <w:bottom w:val="single" w:color="auto" w:sz="4" w:space="0"/>
              <w:right w:val="single" w:color="auto" w:sz="4" w:space="0"/>
            </w:tcBorders>
            <w:shd w:val="clear" w:color="auto" w:fill="auto"/>
            <w:vAlign w:val="center"/>
          </w:tcPr>
          <w:p>
            <w:pPr>
              <w:rPr>
                <w:rFonts w:ascii="宋体" w:hAnsi="宋体" w:eastAsia="宋体" w:cs="宋体"/>
                <w:sz w:val="24"/>
                <w:szCs w:val="24"/>
              </w:rPr>
            </w:pPr>
            <w:r>
              <w:rPr>
                <w:rFonts w:hint="eastAsia"/>
              </w:rPr>
              <w:t>税收事务</w:t>
            </w:r>
          </w:p>
        </w:tc>
        <w:tc>
          <w:tcPr>
            <w:tcW w:w="311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宋体"/>
                <w:b/>
                <w:szCs w:val="21"/>
              </w:rPr>
            </w:pPr>
            <w:r>
              <w:rPr>
                <w:rFonts w:hint="eastAsia" w:ascii="仿宋" w:hAnsi="仿宋" w:eastAsia="仿宋"/>
                <w:b/>
                <w:szCs w:val="21"/>
              </w:rPr>
              <w:t>6.69</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1.51</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5.18</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cs="宋体" w:asciiTheme="minorEastAsia" w:hAnsiTheme="minorEastAsia"/>
                <w:szCs w:val="21"/>
              </w:rPr>
            </w:pPr>
            <w:r>
              <w:rPr>
                <w:rFonts w:hint="eastAsia" w:asciiTheme="minorEastAsia" w:hAnsiTheme="minorEastAsia"/>
                <w:szCs w:val="21"/>
              </w:rPr>
              <w:t>2010799</w:t>
            </w:r>
          </w:p>
        </w:tc>
        <w:tc>
          <w:tcPr>
            <w:tcW w:w="4307" w:type="dxa"/>
            <w:tcBorders>
              <w:top w:val="nil"/>
              <w:left w:val="nil"/>
              <w:bottom w:val="single" w:color="auto" w:sz="4" w:space="0"/>
              <w:right w:val="single" w:color="auto" w:sz="4" w:space="0"/>
            </w:tcBorders>
            <w:shd w:val="clear" w:color="auto" w:fill="auto"/>
            <w:vAlign w:val="center"/>
          </w:tcPr>
          <w:p>
            <w:pPr>
              <w:rPr>
                <w:rFonts w:ascii="宋体" w:hAnsi="宋体" w:eastAsia="宋体" w:cs="宋体"/>
                <w:sz w:val="24"/>
                <w:szCs w:val="24"/>
              </w:rPr>
            </w:pPr>
            <w:r>
              <w:rPr>
                <w:rFonts w:hint="eastAsia"/>
              </w:rPr>
              <w:t>其他税收事务支出</w:t>
            </w:r>
          </w:p>
        </w:tc>
        <w:tc>
          <w:tcPr>
            <w:tcW w:w="311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宋体"/>
                <w:b/>
                <w:szCs w:val="21"/>
              </w:rPr>
            </w:pPr>
            <w:r>
              <w:rPr>
                <w:rFonts w:hint="eastAsia" w:ascii="仿宋" w:hAnsi="仿宋" w:eastAsia="仿宋"/>
                <w:b/>
                <w:szCs w:val="21"/>
              </w:rPr>
              <w:t>6.69</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1.51</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5.18</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cs="宋体" w:asciiTheme="minorEastAsia" w:hAnsiTheme="minorEastAsia"/>
                <w:szCs w:val="21"/>
              </w:rPr>
            </w:pPr>
            <w:r>
              <w:rPr>
                <w:rFonts w:hint="eastAsia" w:asciiTheme="minorEastAsia" w:hAnsiTheme="minorEastAsia"/>
                <w:szCs w:val="21"/>
              </w:rPr>
              <w:t>20113</w:t>
            </w:r>
          </w:p>
        </w:tc>
        <w:tc>
          <w:tcPr>
            <w:tcW w:w="4307" w:type="dxa"/>
            <w:tcBorders>
              <w:top w:val="nil"/>
              <w:left w:val="nil"/>
              <w:bottom w:val="single" w:color="auto" w:sz="4" w:space="0"/>
              <w:right w:val="single" w:color="auto" w:sz="4" w:space="0"/>
            </w:tcBorders>
            <w:shd w:val="clear" w:color="auto" w:fill="auto"/>
            <w:vAlign w:val="center"/>
          </w:tcPr>
          <w:p>
            <w:pPr>
              <w:rPr>
                <w:rFonts w:ascii="宋体" w:hAnsi="宋体" w:eastAsia="宋体" w:cs="宋体"/>
                <w:sz w:val="24"/>
                <w:szCs w:val="24"/>
              </w:rPr>
            </w:pPr>
            <w:r>
              <w:rPr>
                <w:rFonts w:hint="eastAsia"/>
              </w:rPr>
              <w:t>商贸事务</w:t>
            </w:r>
          </w:p>
        </w:tc>
        <w:tc>
          <w:tcPr>
            <w:tcW w:w="311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宋体"/>
                <w:b/>
                <w:szCs w:val="21"/>
              </w:rPr>
            </w:pPr>
            <w:r>
              <w:rPr>
                <w:rFonts w:hint="eastAsia" w:ascii="仿宋" w:hAnsi="仿宋" w:eastAsia="仿宋"/>
                <w:b/>
                <w:szCs w:val="21"/>
              </w:rPr>
              <w:t>847.92</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359.04</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488.88</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2011301</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行政运行</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356.35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356.35</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2011308</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招商引资</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78.23</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2.7</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75.53</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2011399</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其他商贸事务支出</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413.34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413.34</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20199</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其他一般公共服务支出</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2.59</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1.12</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1.47</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2019999</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其他一般公共服务支出</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2.59</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1.12</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1.47</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208</w:t>
            </w:r>
          </w:p>
        </w:tc>
        <w:tc>
          <w:tcPr>
            <w:tcW w:w="4307" w:type="dxa"/>
            <w:tcBorders>
              <w:top w:val="single" w:color="auto" w:sz="4" w:space="0"/>
              <w:left w:val="nil"/>
              <w:bottom w:val="single" w:color="auto" w:sz="4" w:space="0"/>
              <w:right w:val="single" w:color="auto" w:sz="4" w:space="0"/>
            </w:tcBorders>
            <w:shd w:val="clear" w:color="auto" w:fill="auto"/>
            <w:vAlign w:val="center"/>
          </w:tcPr>
          <w:p>
            <w:pPr>
              <w:rPr>
                <w:rFonts w:hint="eastAsia"/>
              </w:rPr>
            </w:pPr>
            <w:r>
              <w:rPr>
                <w:rFonts w:hint="eastAsia"/>
              </w:rPr>
              <w:t>社会保障和就业支出</w:t>
            </w:r>
          </w:p>
        </w:tc>
        <w:tc>
          <w:tcPr>
            <w:tcW w:w="311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91.46</w:t>
            </w:r>
          </w:p>
        </w:tc>
        <w:tc>
          <w:tcPr>
            <w:tcW w:w="2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91.46</w:t>
            </w:r>
          </w:p>
        </w:tc>
        <w:tc>
          <w:tcPr>
            <w:tcW w:w="29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20805</w:t>
            </w:r>
          </w:p>
        </w:tc>
        <w:tc>
          <w:tcPr>
            <w:tcW w:w="4307" w:type="dxa"/>
            <w:tcBorders>
              <w:top w:val="single" w:color="auto" w:sz="4" w:space="0"/>
              <w:left w:val="nil"/>
              <w:bottom w:val="single" w:color="auto" w:sz="4" w:space="0"/>
              <w:right w:val="single" w:color="auto" w:sz="4" w:space="0"/>
            </w:tcBorders>
            <w:shd w:val="clear" w:color="auto" w:fill="auto"/>
            <w:vAlign w:val="center"/>
          </w:tcPr>
          <w:p>
            <w:pPr>
              <w:rPr>
                <w:rFonts w:hint="eastAsia"/>
              </w:rPr>
            </w:pPr>
            <w:r>
              <w:rPr>
                <w:rFonts w:hint="eastAsia"/>
              </w:rPr>
              <w:t>行政事业单位养老支出</w:t>
            </w:r>
          </w:p>
        </w:tc>
        <w:tc>
          <w:tcPr>
            <w:tcW w:w="311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33.65</w:t>
            </w:r>
          </w:p>
        </w:tc>
        <w:tc>
          <w:tcPr>
            <w:tcW w:w="2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33.65</w:t>
            </w:r>
          </w:p>
        </w:tc>
        <w:tc>
          <w:tcPr>
            <w:tcW w:w="29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2080505</w:t>
            </w:r>
          </w:p>
        </w:tc>
        <w:tc>
          <w:tcPr>
            <w:tcW w:w="4307" w:type="dxa"/>
            <w:tcBorders>
              <w:top w:val="single" w:color="auto" w:sz="4" w:space="0"/>
              <w:left w:val="nil"/>
              <w:bottom w:val="single" w:color="auto" w:sz="4" w:space="0"/>
              <w:right w:val="single" w:color="auto" w:sz="4" w:space="0"/>
            </w:tcBorders>
            <w:shd w:val="clear" w:color="auto" w:fill="auto"/>
            <w:vAlign w:val="center"/>
          </w:tcPr>
          <w:p>
            <w:pPr>
              <w:rPr>
                <w:rFonts w:hint="eastAsia"/>
              </w:rPr>
            </w:pPr>
            <w:r>
              <w:rPr>
                <w:rFonts w:hint="eastAsia"/>
              </w:rPr>
              <w:t>机关事业单位基本养老保险缴费支出</w:t>
            </w:r>
          </w:p>
        </w:tc>
        <w:tc>
          <w:tcPr>
            <w:tcW w:w="311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33.65</w:t>
            </w:r>
          </w:p>
        </w:tc>
        <w:tc>
          <w:tcPr>
            <w:tcW w:w="2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33.65</w:t>
            </w:r>
          </w:p>
        </w:tc>
        <w:tc>
          <w:tcPr>
            <w:tcW w:w="29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20808</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抚恤</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56.24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56.24</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2080801</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死亡抚恤</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52.36</w:t>
            </w:r>
          </w:p>
        </w:tc>
        <w:tc>
          <w:tcPr>
            <w:tcW w:w="2693"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52.36</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2080899</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其他优抚支出</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3.88</w:t>
            </w:r>
          </w:p>
        </w:tc>
        <w:tc>
          <w:tcPr>
            <w:tcW w:w="2693"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3.88</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left"/>
              <w:rPr>
                <w:rFonts w:hint="eastAsia" w:asciiTheme="minorEastAsia" w:hAnsiTheme="minorEastAsia"/>
                <w:szCs w:val="21"/>
              </w:rPr>
            </w:pPr>
            <w:r>
              <w:rPr>
                <w:rFonts w:hint="eastAsia" w:asciiTheme="minorEastAsia" w:hAnsiTheme="minorEastAsia"/>
                <w:szCs w:val="21"/>
              </w:rPr>
              <w:t>20827</w:t>
            </w:r>
          </w:p>
        </w:tc>
        <w:tc>
          <w:tcPr>
            <w:tcW w:w="4307" w:type="dxa"/>
            <w:tcBorders>
              <w:top w:val="nil"/>
              <w:left w:val="nil"/>
              <w:bottom w:val="single" w:color="auto" w:sz="4" w:space="0"/>
              <w:right w:val="single" w:color="auto" w:sz="4" w:space="0"/>
            </w:tcBorders>
            <w:shd w:val="clear" w:color="auto" w:fill="auto"/>
            <w:vAlign w:val="center"/>
          </w:tcPr>
          <w:p>
            <w:pPr>
              <w:rPr>
                <w:rFonts w:hint="eastAsia"/>
              </w:rPr>
            </w:pPr>
            <w:r>
              <w:rPr>
                <w:rFonts w:hint="eastAsia"/>
              </w:rPr>
              <w:t>财政对其他社会保险基金的补助</w:t>
            </w:r>
          </w:p>
        </w:tc>
        <w:tc>
          <w:tcPr>
            <w:tcW w:w="311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1.57</w:t>
            </w:r>
          </w:p>
        </w:tc>
        <w:tc>
          <w:tcPr>
            <w:tcW w:w="2693"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b/>
                <w:szCs w:val="21"/>
              </w:rPr>
            </w:pPr>
            <w:r>
              <w:rPr>
                <w:rFonts w:hint="eastAsia" w:ascii="仿宋" w:hAnsi="仿宋" w:eastAsia="仿宋"/>
                <w:b/>
                <w:szCs w:val="21"/>
              </w:rPr>
              <w:t>1.57</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2082701</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财政对失业保险基金的补助</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0.37</w:t>
            </w:r>
          </w:p>
        </w:tc>
        <w:tc>
          <w:tcPr>
            <w:tcW w:w="2693"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0.37</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2082702</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财政对工伤保险基金的补助</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1.2</w:t>
            </w:r>
          </w:p>
        </w:tc>
        <w:tc>
          <w:tcPr>
            <w:tcW w:w="2693"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1.2</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卫生健康支出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2693"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21011</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行政事业单位医疗</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2693"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2101199</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其他行政事业单位医疗支出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2693"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18.37</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城乡社区支出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2.28</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72.26</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21203</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城乡社区公共设施</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2.28</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72.26</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2120399</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其他城乡社区公共设施支出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74.54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2.28</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72.26</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商业服务业等支出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59.93</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646.33</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21602</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商业流通事务</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59.93</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646.33</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2160299</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其他商业流通事务支出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706.25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59.93</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b/>
                <w:kern w:val="0"/>
                <w:szCs w:val="21"/>
              </w:rPr>
            </w:pPr>
            <w:r>
              <w:rPr>
                <w:rFonts w:hint="eastAsia" w:ascii="仿宋" w:hAnsi="仿宋" w:eastAsia="仿宋" w:cs="宋体"/>
                <w:b/>
                <w:kern w:val="0"/>
                <w:szCs w:val="21"/>
              </w:rPr>
              <w:t>646.33</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住房保障支出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15.5</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22102</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住房改革支出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15.5</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2210201</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住房公积金</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15.5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15.5</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0</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其他支出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4.39</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22.12</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22999</w:t>
            </w:r>
          </w:p>
        </w:tc>
        <w:tc>
          <w:tcPr>
            <w:tcW w:w="4307" w:type="dxa"/>
            <w:tcBorders>
              <w:top w:val="nil"/>
              <w:left w:val="nil"/>
              <w:bottom w:val="single" w:color="auto" w:sz="4" w:space="0"/>
              <w:right w:val="single" w:color="auto" w:sz="4" w:space="0"/>
            </w:tcBorders>
            <w:shd w:val="clear" w:color="auto" w:fill="auto"/>
            <w:vAlign w:val="center"/>
          </w:tcPr>
          <w:p>
            <w:pPr>
              <w:spacing w:line="240" w:lineRule="exact"/>
              <w:rPr>
                <w:rFonts w:hint="eastAsia"/>
              </w:rPr>
            </w:pPr>
            <w:r>
              <w:rPr>
                <w:rFonts w:hint="eastAsia"/>
              </w:rPr>
              <w:t>其他支出</w:t>
            </w:r>
          </w:p>
        </w:tc>
        <w:tc>
          <w:tcPr>
            <w:tcW w:w="3118" w:type="dxa"/>
            <w:tcBorders>
              <w:top w:val="nil"/>
              <w:left w:val="nil"/>
              <w:bottom w:val="single" w:color="auto" w:sz="4"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4.39</w:t>
            </w:r>
          </w:p>
        </w:tc>
        <w:tc>
          <w:tcPr>
            <w:tcW w:w="2901"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22.12</w:t>
            </w:r>
          </w:p>
        </w:tc>
      </w:tr>
      <w:tr>
        <w:tblPrEx>
          <w:tblCellMar>
            <w:top w:w="0" w:type="dxa"/>
            <w:left w:w="108" w:type="dxa"/>
            <w:bottom w:w="0" w:type="dxa"/>
            <w:right w:w="108"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spacing w:line="240" w:lineRule="exact"/>
              <w:jc w:val="left"/>
              <w:rPr>
                <w:rFonts w:hint="eastAsia" w:asciiTheme="minorEastAsia" w:hAnsiTheme="minorEastAsia"/>
                <w:szCs w:val="21"/>
              </w:rPr>
            </w:pPr>
            <w:r>
              <w:rPr>
                <w:rFonts w:hint="eastAsia" w:asciiTheme="minorEastAsia" w:hAnsiTheme="minorEastAsia"/>
                <w:szCs w:val="21"/>
              </w:rPr>
              <w:t>2299999</w:t>
            </w:r>
          </w:p>
        </w:tc>
        <w:tc>
          <w:tcPr>
            <w:tcW w:w="4307" w:type="dxa"/>
            <w:tcBorders>
              <w:top w:val="nil"/>
              <w:left w:val="nil"/>
              <w:bottom w:val="single" w:color="auto" w:sz="8" w:space="0"/>
              <w:right w:val="single" w:color="auto" w:sz="4" w:space="0"/>
            </w:tcBorders>
            <w:shd w:val="clear" w:color="auto" w:fill="auto"/>
            <w:vAlign w:val="center"/>
          </w:tcPr>
          <w:p>
            <w:pPr>
              <w:spacing w:line="240" w:lineRule="exact"/>
              <w:rPr>
                <w:rFonts w:hint="eastAsia"/>
              </w:rPr>
            </w:pPr>
            <w:r>
              <w:rPr>
                <w:rFonts w:hint="eastAsia"/>
              </w:rPr>
              <w:t>其他支出</w:t>
            </w:r>
          </w:p>
        </w:tc>
        <w:tc>
          <w:tcPr>
            <w:tcW w:w="3118" w:type="dxa"/>
            <w:tcBorders>
              <w:top w:val="nil"/>
              <w:left w:val="nil"/>
              <w:bottom w:val="single" w:color="auto" w:sz="8" w:space="0"/>
              <w:right w:val="single" w:color="auto" w:sz="4" w:space="0"/>
            </w:tcBorders>
            <w:shd w:val="clear" w:color="auto" w:fill="auto"/>
            <w:vAlign w:val="center"/>
          </w:tcPr>
          <w:p>
            <w:pPr>
              <w:spacing w:line="240" w:lineRule="exact"/>
              <w:jc w:val="center"/>
              <w:rPr>
                <w:rFonts w:hint="eastAsia" w:ascii="仿宋" w:hAnsi="仿宋" w:eastAsia="仿宋"/>
                <w:b/>
                <w:szCs w:val="21"/>
              </w:rPr>
            </w:pPr>
            <w:r>
              <w:rPr>
                <w:rFonts w:hint="eastAsia" w:ascii="仿宋" w:hAnsi="仿宋" w:eastAsia="仿宋"/>
                <w:b/>
                <w:szCs w:val="21"/>
              </w:rPr>
              <w:t>26.51</w:t>
            </w:r>
          </w:p>
        </w:tc>
        <w:tc>
          <w:tcPr>
            <w:tcW w:w="2693"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4.39</w:t>
            </w:r>
          </w:p>
        </w:tc>
        <w:tc>
          <w:tcPr>
            <w:tcW w:w="2901"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 w:hAnsi="仿宋" w:eastAsia="仿宋" w:cs="宋体"/>
                <w:b/>
                <w:kern w:val="0"/>
                <w:szCs w:val="21"/>
              </w:rPr>
            </w:pPr>
            <w:r>
              <w:rPr>
                <w:rFonts w:hint="eastAsia" w:ascii="仿宋" w:hAnsi="仿宋" w:eastAsia="仿宋" w:cs="宋体"/>
                <w:b/>
                <w:kern w:val="0"/>
                <w:szCs w:val="21"/>
              </w:rPr>
              <w:t>22.12</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0" w:type="auto"/>
        <w:tblInd w:w="0" w:type="dxa"/>
        <w:tblLayout w:type="autofit"/>
        <w:tblCellMar>
          <w:top w:w="0" w:type="dxa"/>
          <w:left w:w="108" w:type="dxa"/>
          <w:bottom w:w="0" w:type="dxa"/>
          <w:right w:w="108" w:type="dxa"/>
        </w:tblCellMar>
      </w:tblPr>
      <w:tblGrid>
        <w:gridCol w:w="1003"/>
        <w:gridCol w:w="240"/>
        <w:gridCol w:w="95"/>
        <w:gridCol w:w="1307"/>
        <w:gridCol w:w="1149"/>
        <w:gridCol w:w="970"/>
        <w:gridCol w:w="587"/>
        <w:gridCol w:w="1222"/>
        <w:gridCol w:w="310"/>
        <w:gridCol w:w="1589"/>
        <w:gridCol w:w="530"/>
        <w:gridCol w:w="604"/>
        <w:gridCol w:w="1154"/>
        <w:gridCol w:w="361"/>
        <w:gridCol w:w="2119"/>
        <w:gridCol w:w="1043"/>
        <w:gridCol w:w="1077"/>
        <w:gridCol w:w="254"/>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 xml:space="preserve">                                           </w:t>
            </w:r>
            <w:r>
              <w:rPr>
                <w:rFonts w:hint="eastAsia" w:ascii="华文中宋" w:hAnsi="华文中宋" w:eastAsia="华文中宋" w:cs="宋体"/>
                <w:b/>
                <w:color w:val="000000"/>
                <w:kern w:val="0"/>
                <w:szCs w:val="32"/>
              </w:rPr>
              <w:t xml:space="preserve"> 一般公共预算财政拨款基本支出决算明细表</w:t>
            </w:r>
            <w:bookmarkEnd w:id="2"/>
            <w:r>
              <w:rPr>
                <w:rFonts w:hint="eastAsia" w:ascii="华文中宋" w:hAnsi="华文中宋" w:eastAsia="华文中宋" w:cs="宋体"/>
                <w:b/>
                <w:color w:val="000000"/>
                <w:kern w:val="0"/>
                <w:szCs w:val="32"/>
              </w:rPr>
              <w:t xml:space="preserve">   </w:t>
            </w:r>
            <w:r>
              <w:rPr>
                <w:rFonts w:hint="eastAsia" w:ascii="华文中宋" w:hAnsi="华文中宋" w:eastAsia="华文中宋" w:cs="宋体"/>
                <w:color w:val="000000"/>
                <w:kern w:val="0"/>
                <w:szCs w:val="32"/>
              </w:rPr>
              <w:t xml:space="preserve">                                            </w:t>
            </w:r>
            <w:r>
              <w:rPr>
                <w:rFonts w:hint="eastAsia" w:ascii="Times New Roman" w:hAnsi="Times New Roman" w:eastAsia="仿宋_GB2312" w:cs="Times New Roman"/>
                <w:color w:val="000000"/>
                <w:kern w:val="0"/>
                <w:szCs w:val="21"/>
              </w:rPr>
              <w:t>公开06表</w:t>
            </w:r>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 xml:space="preserve">洪江市商务局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45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55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189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5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374.85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110.22</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156.32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5.97</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69.59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2.84</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76.5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0.42</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0.01</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0.42</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33.65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0.8</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0.5</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18.37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5.4</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4.57</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3.05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68.18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1.2</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52.57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4.88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0.43</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25.32</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1.35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24.2</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rPr>
              <w:t>0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0.19</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9.38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45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18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13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28.79</w:t>
            </w:r>
          </w:p>
        </w:tc>
        <w:tc>
          <w:tcPr>
            <w:tcW w:w="11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23"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379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55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443.03</w:t>
            </w:r>
          </w:p>
        </w:tc>
        <w:tc>
          <w:tcPr>
            <w:tcW w:w="8932"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33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110.63</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widowControl/>
              <w:jc w:val="center"/>
              <w:textAlignment w:val="center"/>
              <w:rPr>
                <w:rFonts w:ascii="华文中宋" w:hAnsi="华文中宋" w:eastAsia="华文中宋" w:cs="华文中宋"/>
                <w:color w:val="000000"/>
                <w:kern w:val="0"/>
                <w:sz w:val="32"/>
                <w:szCs w:val="32"/>
              </w:rPr>
            </w:pPr>
          </w:p>
          <w:p>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政府性基金预算财政拨款收入支出决算表</w:t>
            </w:r>
          </w:p>
        </w:tc>
      </w:tr>
      <w:tr>
        <w:tblPrEx>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40"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1402" w:type="dxa"/>
            <w:gridSpan w:val="2"/>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119"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20" w:type="dxa"/>
            <w:gridSpan w:val="2"/>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tblPrEx>
          <w:tblCellMar>
            <w:top w:w="0" w:type="dxa"/>
            <w:left w:w="108" w:type="dxa"/>
            <w:bottom w:w="0" w:type="dxa"/>
            <w:right w:w="108" w:type="dxa"/>
          </w:tblCellMar>
        </w:tblPrEx>
        <w:trPr>
          <w:gridAfter w:val="1"/>
          <w:wAfter w:w="254" w:type="dxa"/>
          <w:trHeight w:val="690" w:hRule="atLeast"/>
        </w:trPr>
        <w:tc>
          <w:tcPr>
            <w:tcW w:w="2645" w:type="dxa"/>
            <w:gridSpan w:val="4"/>
            <w:tcBorders>
              <w:top w:val="nil"/>
              <w:left w:val="nil"/>
              <w:bottom w:val="nil"/>
              <w:right w:val="nil"/>
            </w:tcBorders>
            <w:shd w:val="clear" w:color="auto" w:fill="FFFFFF"/>
            <w:noWrap/>
            <w:vAlign w:val="center"/>
          </w:tcPr>
          <w:p>
            <w:pPr>
              <w:jc w:val="left"/>
              <w:rPr>
                <w:rFonts w:ascii="宋体" w:hAnsi="宋体" w:eastAsia="宋体" w:cs="宋体"/>
                <w:color w:val="000000"/>
                <w:sz w:val="20"/>
                <w:szCs w:val="20"/>
              </w:rPr>
            </w:pPr>
            <w:r>
              <w:rPr>
                <w:rFonts w:hint="eastAsia" w:ascii="宋体" w:hAnsi="宋体" w:eastAsia="宋体" w:cs="宋体"/>
                <w:color w:val="000000"/>
                <w:kern w:val="0"/>
                <w:sz w:val="20"/>
                <w:szCs w:val="20"/>
              </w:rPr>
              <w:t>部门：洪江市商务局</w:t>
            </w:r>
          </w:p>
        </w:tc>
        <w:tc>
          <w:tcPr>
            <w:tcW w:w="2119"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20" w:type="dxa"/>
            <w:gridSpan w:val="2"/>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Style w:val="12"/>
                <w:rFonts w:hint="default"/>
              </w:rPr>
              <w:t xml:space="preserve">   </w:t>
            </w:r>
            <w:r>
              <w:rPr>
                <w:rStyle w:val="13"/>
                <w:rFonts w:hint="default"/>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年末结转和结余</w:t>
            </w:r>
          </w:p>
        </w:tc>
      </w:tr>
      <w:tr>
        <w:tblPrEx>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6</w:t>
            </w:r>
          </w:p>
        </w:tc>
      </w:tr>
      <w:tr>
        <w:tblPrEx>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注：本表反映部门本年度政府性基金预算财政拨款收入、支出及结转和结余情况。</w:t>
            </w:r>
          </w:p>
          <w:p>
            <w:pPr>
              <w:widowControl/>
              <w:jc w:val="left"/>
              <w:textAlignment w:val="center"/>
              <w:rPr>
                <w:rFonts w:ascii="宋体" w:hAnsi="宋体" w:eastAsia="宋体" w:cs="宋体"/>
                <w:color w:val="000000"/>
                <w:kern w:val="0"/>
                <w:sz w:val="24"/>
                <w:szCs w:val="24"/>
              </w:rPr>
            </w:pPr>
          </w:p>
          <w:p>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说明：我单位没有政府性基金收入，也没有使用政府性基金安排的支出，故本表无数据。（当表格数据为空时，应有此说明）</w:t>
            </w:r>
          </w:p>
        </w:tc>
      </w:tr>
    </w:tbl>
    <w:p>
      <w:pPr>
        <w:widowControl/>
        <w:jc w:val="center"/>
        <w:rPr>
          <w:rFonts w:ascii="Times New Roman" w:hAnsi="Times New Roman" w:eastAsia="方正小标宋_GBK" w:cs="Times New Roman"/>
          <w:color w:val="000000"/>
          <w:kern w:val="0"/>
          <w:sz w:val="36"/>
          <w:szCs w:val="36"/>
        </w:rPr>
      </w:pPr>
    </w:p>
    <w:p>
      <w:pPr>
        <w:widowControl/>
        <w:jc w:val="center"/>
        <w:rPr>
          <w:rFonts w:ascii="Times New Roman" w:hAnsi="Times New Roman" w:eastAsia="方正小标宋_GBK" w:cs="Times New Roman"/>
          <w:color w:val="000000"/>
          <w:kern w:val="0"/>
          <w:sz w:val="36"/>
          <w:szCs w:val="36"/>
        </w:rPr>
      </w:pPr>
    </w:p>
    <w:tbl>
      <w:tblPr>
        <w:tblStyle w:val="5"/>
        <w:tblW w:w="15120" w:type="dxa"/>
        <w:tblInd w:w="93" w:type="dxa"/>
        <w:tblLayout w:type="autofit"/>
        <w:tblCellMar>
          <w:top w:w="0" w:type="dxa"/>
          <w:left w:w="108" w:type="dxa"/>
          <w:bottom w:w="0" w:type="dxa"/>
          <w:right w:w="108" w:type="dxa"/>
        </w:tblCellMar>
      </w:tblPr>
      <w:tblGrid>
        <w:gridCol w:w="2016"/>
        <w:gridCol w:w="671"/>
        <w:gridCol w:w="2177"/>
        <w:gridCol w:w="3135"/>
        <w:gridCol w:w="3135"/>
        <w:gridCol w:w="3986"/>
      </w:tblGrid>
      <w:tr>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tblPrEx>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部门：洪江市商务局</w:t>
            </w:r>
          </w:p>
        </w:tc>
        <w:tc>
          <w:tcPr>
            <w:tcW w:w="701"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Fonts w:hint="eastAsia" w:ascii="宋体" w:hAnsi="宋体" w:eastAsia="宋体" w:cs="宋体"/>
                <w:color w:val="000000"/>
                <w:kern w:val="0"/>
                <w:sz w:val="22"/>
              </w:rPr>
              <w:t xml:space="preserve">   </w:t>
            </w:r>
            <w:r>
              <w:rPr>
                <w:rStyle w:val="14"/>
                <w:rFonts w:hint="default"/>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r>
      <w:tr>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r>
      <w:tr>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r>
      <w:tr>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注：本表反映部门本年度国有资本经营预算财政拨款支出情况。</w:t>
            </w:r>
          </w:p>
          <w:p>
            <w:pPr>
              <w:widowControl/>
              <w:jc w:val="left"/>
              <w:textAlignment w:val="center"/>
              <w:rPr>
                <w:rFonts w:ascii="宋体" w:hAnsi="宋体" w:eastAsia="宋体" w:cs="宋体"/>
                <w:color w:val="000000"/>
                <w:kern w:val="0"/>
                <w:sz w:val="24"/>
                <w:szCs w:val="24"/>
              </w:rPr>
            </w:pPr>
          </w:p>
          <w:p>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说明：我单位没有使用国有资本经营预算安排的支出，故本表无数据。（当表格数据为空时，应有此说明）</w:t>
            </w:r>
          </w:p>
        </w:tc>
      </w:tr>
    </w:tbl>
    <w:p>
      <w:pPr>
        <w:widowControl/>
        <w:jc w:val="center"/>
        <w:rPr>
          <w:rFonts w:ascii="Times New Roman" w:hAnsi="Times New Roman" w:eastAsia="方正小标宋_GBK" w:cs="Times New Roman"/>
          <w:color w:val="000000"/>
          <w:kern w:val="0"/>
          <w:sz w:val="36"/>
          <w:szCs w:val="36"/>
        </w:rPr>
      </w:pPr>
    </w:p>
    <w:tbl>
      <w:tblPr>
        <w:tblStyle w:val="5"/>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widowControl/>
              <w:jc w:val="center"/>
              <w:textAlignment w:val="center"/>
              <w:rPr>
                <w:rFonts w:ascii="华文中宋" w:hAnsi="华文中宋" w:eastAsia="华文中宋" w:cs="华文中宋"/>
                <w:color w:val="000000"/>
                <w:kern w:val="0"/>
                <w:sz w:val="32"/>
                <w:szCs w:val="32"/>
              </w:rPr>
            </w:pPr>
          </w:p>
          <w:p>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财政拨款“三公”经费支出决算表</w:t>
            </w:r>
          </w:p>
        </w:tc>
      </w:tr>
      <w:tr>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tblPrEx>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pPr>
              <w:rPr>
                <w:rFonts w:ascii="宋体" w:hAnsi="宋体" w:eastAsia="宋体" w:cs="宋体"/>
                <w:color w:val="000000"/>
                <w:sz w:val="20"/>
                <w:szCs w:val="20"/>
              </w:rPr>
            </w:pPr>
            <w:r>
              <w:rPr>
                <w:rFonts w:hint="eastAsia" w:ascii="宋体" w:hAnsi="宋体" w:eastAsia="宋体" w:cs="宋体"/>
                <w:color w:val="000000"/>
                <w:kern w:val="0"/>
                <w:sz w:val="20"/>
                <w:szCs w:val="20"/>
              </w:rPr>
              <w:t>部门：洪江市商务局</w:t>
            </w: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10.08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10.08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2.59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22"/>
              </w:rPr>
            </w:pPr>
            <w:r>
              <w:rPr>
                <w:rFonts w:hint="eastAsia" w:ascii="仿宋" w:hAnsi="仿宋" w:eastAsia="仿宋" w:cs="宋体"/>
                <w:b/>
                <w:color w:val="000000"/>
                <w:sz w:val="22"/>
              </w:rPr>
              <w:t>2.59</w:t>
            </w:r>
          </w:p>
        </w:tc>
      </w:tr>
      <w:tr>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rPr>
          <w:sz w:val="72"/>
          <w:szCs w:val="72"/>
        </w:rPr>
        <w:sectPr>
          <w:pgSz w:w="16838" w:h="11906" w:orient="landscape"/>
          <w:pgMar w:top="720" w:right="720" w:bottom="720" w:left="720" w:header="851" w:footer="992" w:gutter="0"/>
          <w:cols w:space="425" w:num="1"/>
          <w:docGrid w:type="lines" w:linePitch="312" w:charSpace="0"/>
        </w:sectPr>
      </w:pPr>
    </w:p>
    <w:p>
      <w:pPr>
        <w:pStyle w:val="9"/>
        <w:rPr>
          <w:sz w:val="72"/>
          <w:szCs w:val="72"/>
        </w:rPr>
      </w:pPr>
    </w:p>
    <w:p>
      <w:pPr>
        <w:pStyle w:val="9"/>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9"/>
        <w:jc w:val="center"/>
        <w:rPr>
          <w:rFonts w:ascii="方正小标宋_GBK" w:hAnsi="方正小标宋_GBK" w:eastAsia="方正小标宋_GBK" w:cs="方正小标宋_GBK"/>
          <w:sz w:val="70"/>
          <w:szCs w:val="70"/>
        </w:rPr>
      </w:pPr>
    </w:p>
    <w:p>
      <w:pPr>
        <w:pStyle w:val="9"/>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pPr>
        <w:pStyle w:val="9"/>
        <w:spacing w:line="600" w:lineRule="exact"/>
        <w:ind w:firstLine="640" w:firstLineChars="200"/>
        <w:rPr>
          <w:rFonts w:hAnsi="黑体"/>
          <w:b/>
          <w:bCs/>
          <w:sz w:val="32"/>
          <w:szCs w:val="32"/>
        </w:rPr>
      </w:pPr>
      <w:r>
        <w:rPr>
          <w:rFonts w:hint="eastAsia" w:hAnsi="黑体"/>
          <w:b/>
          <w:bCs/>
          <w:sz w:val="32"/>
          <w:szCs w:val="32"/>
        </w:rPr>
        <w:t>一、收入支出决算总体情况说明</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2022年度收、支总计3579.78万元。与上年相比，减少24.92万元，减少0.69%，主要是因为厉行节约，压缩办公经费。</w:t>
      </w:r>
    </w:p>
    <w:p>
      <w:pPr>
        <w:pStyle w:val="9"/>
        <w:spacing w:line="600" w:lineRule="exact"/>
        <w:ind w:firstLine="640" w:firstLineChars="200"/>
        <w:rPr>
          <w:rFonts w:hAnsi="黑体"/>
          <w:b/>
          <w:bCs/>
          <w:sz w:val="32"/>
          <w:szCs w:val="32"/>
        </w:rPr>
      </w:pPr>
      <w:r>
        <w:rPr>
          <w:rFonts w:hint="eastAsia" w:hAnsi="黑体"/>
          <w:b/>
          <w:bCs/>
          <w:sz w:val="32"/>
          <w:szCs w:val="32"/>
        </w:rPr>
        <w:t>二、收入决算情况说明</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2022年度收入合计1789.89万元，其中：财政拨款收入1789.89万元，占100% 。</w:t>
      </w:r>
    </w:p>
    <w:p>
      <w:pPr>
        <w:pStyle w:val="9"/>
        <w:spacing w:line="600" w:lineRule="exact"/>
        <w:ind w:firstLine="640" w:firstLineChars="200"/>
        <w:rPr>
          <w:rFonts w:hAnsi="黑体"/>
          <w:b/>
          <w:bCs/>
          <w:sz w:val="32"/>
          <w:szCs w:val="32"/>
        </w:rPr>
      </w:pPr>
      <w:r>
        <w:rPr>
          <w:rFonts w:hint="eastAsia" w:hAnsi="黑体"/>
          <w:b/>
          <w:bCs/>
          <w:sz w:val="32"/>
          <w:szCs w:val="32"/>
        </w:rPr>
        <w:t>三、支出决算情况说明</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2022年度支出合计1789.89万元，其中：基本支出553.66万元，占30.93%；项目支出1236.23万元，占69.07% 。</w:t>
      </w:r>
    </w:p>
    <w:p>
      <w:pPr>
        <w:pStyle w:val="9"/>
        <w:spacing w:line="600" w:lineRule="exact"/>
        <w:ind w:firstLine="640" w:firstLineChars="200"/>
        <w:rPr>
          <w:rFonts w:hAnsi="黑体"/>
          <w:b/>
          <w:bCs/>
          <w:sz w:val="32"/>
          <w:szCs w:val="32"/>
        </w:rPr>
      </w:pPr>
      <w:r>
        <w:rPr>
          <w:rFonts w:hint="eastAsia" w:hAnsi="黑体"/>
          <w:b/>
          <w:bCs/>
          <w:sz w:val="32"/>
          <w:szCs w:val="32"/>
        </w:rPr>
        <w:t>四、财政拨款收入支出决算总体情况说明</w:t>
      </w:r>
    </w:p>
    <w:p>
      <w:pPr>
        <w:pStyle w:val="9"/>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2022年度财政拨款收、支总计3579.78万元。与上年相比，减少24.92万元，减少0.69%，主要是因为厉行节约，压缩办公经费。</w:t>
      </w:r>
    </w:p>
    <w:p>
      <w:pPr>
        <w:pStyle w:val="9"/>
        <w:spacing w:line="600" w:lineRule="exact"/>
        <w:ind w:firstLine="640" w:firstLineChars="200"/>
        <w:rPr>
          <w:rFonts w:hAnsi="黑体"/>
          <w:b/>
          <w:bCs/>
          <w:sz w:val="32"/>
          <w:szCs w:val="32"/>
        </w:rPr>
      </w:pPr>
      <w:r>
        <w:rPr>
          <w:rFonts w:hint="eastAsia" w:hAnsi="黑体"/>
          <w:b/>
          <w:bCs/>
          <w:sz w:val="32"/>
          <w:szCs w:val="32"/>
        </w:rPr>
        <w:t>五、一般公共预算财政拨款支出决算情况说明</w:t>
      </w:r>
    </w:p>
    <w:p>
      <w:pPr>
        <w:pStyle w:val="9"/>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（一）财政拨款支出决算总体情况</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2022年度财政拨款支出1789.89万元，占本年支出合计的100%，与上年相比，财政拨款支出减少12.46万元，减少0.69%，主要是因为厉行节约，压缩办公经费。</w:t>
      </w:r>
    </w:p>
    <w:p>
      <w:pPr>
        <w:pStyle w:val="9"/>
        <w:spacing w:line="600" w:lineRule="exact"/>
        <w:ind w:firstLine="800" w:firstLineChars="250"/>
        <w:rPr>
          <w:rFonts w:ascii="楷体" w:hAnsi="楷体" w:eastAsia="楷体" w:cs="楷体"/>
          <w:b/>
          <w:bCs/>
          <w:sz w:val="32"/>
          <w:szCs w:val="32"/>
        </w:rPr>
      </w:pPr>
      <w:r>
        <w:rPr>
          <w:rFonts w:hint="eastAsia" w:ascii="楷体" w:hAnsi="楷体" w:eastAsia="楷体" w:cs="楷体"/>
          <w:b/>
          <w:bCs/>
          <w:sz w:val="32"/>
          <w:szCs w:val="32"/>
        </w:rPr>
        <w:t>（二）财政拨款支出决算结构情况</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支出1789.89万元，主要用于以下方面：一般公共服务（类）支出857.26万元，占47.89%；社会保障和就业支出91.46万元，占5.11%;卫生健康支出18.37万元，占1.03%；城乡社区支出74.54万元，占4.16%；商业服务业等支出706.25万元，占39.46%；住房保障支出15.5万元，占0.87%；其他支出26.51万元，占1.48% 。</w:t>
      </w:r>
    </w:p>
    <w:p>
      <w:pPr>
        <w:pStyle w:val="9"/>
        <w:spacing w:line="600" w:lineRule="exact"/>
        <w:ind w:firstLine="800" w:firstLineChars="250"/>
        <w:rPr>
          <w:rFonts w:ascii="楷体" w:hAnsi="楷体" w:eastAsia="楷体" w:cs="楷体"/>
          <w:b/>
          <w:bCs/>
          <w:sz w:val="32"/>
          <w:szCs w:val="32"/>
        </w:rPr>
      </w:pPr>
      <w:r>
        <w:rPr>
          <w:rFonts w:hint="eastAsia" w:ascii="楷体" w:hAnsi="楷体" w:eastAsia="楷体" w:cs="楷体"/>
          <w:b/>
          <w:bCs/>
          <w:sz w:val="32"/>
          <w:szCs w:val="32"/>
        </w:rPr>
        <w:t>（三）财政拨款支出决算具体情况</w:t>
      </w:r>
    </w:p>
    <w:p>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2022年度财政拨款支出年初预算数为430.18万元，支出决算数为1789.89万元，完成年初预算的416.08%，其中：</w:t>
      </w:r>
    </w:p>
    <w:p>
      <w:pPr>
        <w:pStyle w:val="9"/>
        <w:spacing w:line="600" w:lineRule="exact"/>
        <w:ind w:firstLine="800" w:firstLineChars="250"/>
        <w:rPr>
          <w:rFonts w:hAnsi="黑体"/>
          <w:b/>
          <w:sz w:val="32"/>
          <w:szCs w:val="32"/>
        </w:rPr>
      </w:pPr>
      <w:r>
        <w:rPr>
          <w:rFonts w:hint="eastAsia" w:hAnsi="黑体"/>
          <w:b/>
          <w:sz w:val="32"/>
          <w:szCs w:val="32"/>
        </w:rPr>
        <w:t>1、一般公共服务支出-政府办公厅（室）及相关机构事务支出-其他</w:t>
      </w:r>
    </w:p>
    <w:p>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年初预算为0万元，支出决算为0.05万元，决算数大于年初预算数的主要原因是：编制年初预算时，误将相关费用全部归集到“一般公共服务支出-商贸事务-行政运行”。</w:t>
      </w:r>
    </w:p>
    <w:p>
      <w:pPr>
        <w:pStyle w:val="9"/>
        <w:spacing w:line="600" w:lineRule="exact"/>
        <w:ind w:firstLine="800" w:firstLineChars="250"/>
        <w:rPr>
          <w:rFonts w:ascii="Times New Roman" w:hAnsi="Times New Roman" w:eastAsia="仿宋_GB2312"/>
          <w:sz w:val="32"/>
          <w:szCs w:val="32"/>
        </w:rPr>
      </w:pPr>
      <w:r>
        <w:rPr>
          <w:rFonts w:hint="eastAsia" w:hAnsi="黑体"/>
          <w:b/>
          <w:sz w:val="32"/>
          <w:szCs w:val="32"/>
        </w:rPr>
        <w:t>2、一般公共服务支出-税收事务-其他</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年初预算为0万元，支出决算为6.69万元，决算数大于年初预算数的主要原因是：编制年初预算时，误将相关费用全部归集到“一般公共服务支出-商贸事务-行政运行”。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ascii="Times New Roman" w:hAnsi="Times New Roman" w:eastAsia="仿宋_GB2312"/>
          <w:b/>
          <w:sz w:val="32"/>
          <w:szCs w:val="32"/>
        </w:rPr>
        <w:t>3、</w:t>
      </w:r>
      <w:r>
        <w:rPr>
          <w:rFonts w:hint="eastAsia" w:hAnsi="黑体"/>
          <w:b/>
          <w:sz w:val="32"/>
          <w:szCs w:val="32"/>
        </w:rPr>
        <w:t>一般公共服务支出-商贸事务-行政运行</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年初预算为430.18万元，支出决算为356.35万元，完成年初预算的82.84%，决算数小于年初预算数的主要原因是：招商引资部分费用在“一般公共服务支出-商贸事务-招商引资”科目进行核算。</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b/>
          <w:sz w:val="32"/>
          <w:szCs w:val="32"/>
        </w:rPr>
        <w:t>4、</w:t>
      </w:r>
      <w:r>
        <w:rPr>
          <w:rFonts w:hint="eastAsia" w:hAnsi="黑体"/>
          <w:b/>
          <w:sz w:val="32"/>
          <w:szCs w:val="32"/>
        </w:rPr>
        <w:t>一般公共服务支出-商贸事务-招商引资</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年初预算为0万元，支出决算为78.23万元，决算数大于年初预算数的主要原因是：编制年初预算时，误将相关费用全部归集到“一般公共服务支出-商贸事务-行政运行”。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ascii="Times New Roman" w:hAnsi="Times New Roman" w:eastAsia="仿宋_GB2312"/>
          <w:b/>
          <w:sz w:val="32"/>
          <w:szCs w:val="32"/>
        </w:rPr>
        <w:t>5、</w:t>
      </w:r>
      <w:r>
        <w:rPr>
          <w:rFonts w:hint="eastAsia" w:hAnsi="黑体"/>
          <w:b/>
          <w:sz w:val="32"/>
          <w:szCs w:val="32"/>
        </w:rPr>
        <w:t>一般公共服务支出-商贸事务-其他</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年初预算为0万元，支出决算为413.34万元，决算数大于年初预算数的主要原因是：编制年初预算时，未考虑对企业的奖抚兑现等。</w:t>
      </w:r>
    </w:p>
    <w:p>
      <w:pPr>
        <w:pStyle w:val="9"/>
        <w:spacing w:line="600" w:lineRule="exact"/>
        <w:ind w:firstLine="800" w:firstLineChars="250"/>
        <w:rPr>
          <w:rFonts w:hint="eastAsia" w:hAnsi="黑体"/>
          <w:b/>
          <w:sz w:val="32"/>
          <w:szCs w:val="32"/>
        </w:rPr>
      </w:pPr>
      <w:r>
        <w:rPr>
          <w:rFonts w:hint="eastAsia" w:ascii="Times New Roman" w:hAnsi="Times New Roman" w:eastAsia="仿宋_GB2312"/>
          <w:b/>
          <w:sz w:val="32"/>
          <w:szCs w:val="32"/>
        </w:rPr>
        <w:t>6、</w:t>
      </w:r>
      <w:r>
        <w:rPr>
          <w:rFonts w:hint="eastAsia" w:hAnsi="黑体"/>
          <w:b/>
          <w:sz w:val="32"/>
          <w:szCs w:val="32"/>
        </w:rPr>
        <w:t>一般公共服务支出-其他一般公共服务支出-其他</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年初预算为0万元，支出决算为2.59万元，决算数大于（小于）年初预算数的主要原因是：编制年初预算时，误将相关费用全部归集到“一般公共服务支出-商贸事务-行政运行”。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hAnsi="黑体"/>
          <w:b/>
          <w:sz w:val="32"/>
          <w:szCs w:val="32"/>
        </w:rPr>
        <w:t>7、社会保障和就业支出-行政事业单位养老支出-机关事业单位基本养老保险缴费支出</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年初预算为0万元，支出决算为33.65万元，决算数大于年初预算数的主要原因是：编制年初预算时，误将相关费用全部归集到“一般公共服务支出-商贸事务-行政运行”。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b/>
          <w:sz w:val="32"/>
          <w:szCs w:val="32"/>
        </w:rPr>
        <w:t>8、</w:t>
      </w:r>
      <w:r>
        <w:rPr>
          <w:rFonts w:hint="eastAsia" w:hAnsi="黑体"/>
          <w:b/>
          <w:sz w:val="32"/>
          <w:szCs w:val="32"/>
        </w:rPr>
        <w:t>社会保障和就业支出-抚恤-死亡抚恤</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年初预算为0万元，支出决算为52.36万元，决算数大于年初预算数的主要原因是：编制年初预算时，未预计人员离世。</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b/>
          <w:sz w:val="32"/>
          <w:szCs w:val="32"/>
        </w:rPr>
        <w:t>9、</w:t>
      </w:r>
      <w:r>
        <w:rPr>
          <w:rFonts w:hint="eastAsia" w:hAnsi="黑体"/>
          <w:b/>
          <w:sz w:val="32"/>
          <w:szCs w:val="32"/>
        </w:rPr>
        <w:t>社会保障和就业支出-抚恤-其他优抚支出</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年初预算为0万元，支出决算为3.88万元，决算数大于年初预算数的主要原因是：编制年初预算时，误将相关费用全部归集到“一般公共服务支出-商贸事务-行政运行”。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ascii="Times New Roman" w:hAnsi="Times New Roman" w:eastAsia="仿宋_GB2312"/>
          <w:b/>
          <w:sz w:val="32"/>
          <w:szCs w:val="32"/>
        </w:rPr>
        <w:t>10、</w:t>
      </w:r>
      <w:r>
        <w:rPr>
          <w:rFonts w:hint="eastAsia" w:hAnsi="黑体"/>
          <w:b/>
          <w:sz w:val="32"/>
          <w:szCs w:val="32"/>
        </w:rPr>
        <w:t>社会保障和就业支出-财政对其他社会保险基金的补助-财政对失业保险基金的补助</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年初预算为0万元，支出决算为0.37万元，决算数大于年初预算数的主要原因是：编制年初预算时，误将相关费用全部归集到“一般公共服务支出-商贸事务-行政运行”。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ascii="Times New Roman" w:hAnsi="Times New Roman" w:eastAsia="仿宋_GB2312"/>
          <w:b/>
          <w:sz w:val="32"/>
          <w:szCs w:val="32"/>
        </w:rPr>
        <w:t>11、</w:t>
      </w:r>
      <w:r>
        <w:rPr>
          <w:rFonts w:hint="eastAsia" w:hAnsi="黑体"/>
          <w:b/>
          <w:sz w:val="32"/>
          <w:szCs w:val="32"/>
        </w:rPr>
        <w:t>社会保障和就业支出-财政对其他社会保险基金的补助-财政对工伤保险基金的补助</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年初预算为0万元，支出决算为1.2万元，决算数大于年初预算数的主要原因是：编制年初预算时，误将相关费用全部归集到“一般公共服务支出-商贸事务-行政运行”。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hAnsi="黑体"/>
          <w:b/>
          <w:sz w:val="32"/>
          <w:szCs w:val="32"/>
        </w:rPr>
        <w:t>12、卫生健康支出-行政事业单位医疗-其他行政事业单位医疗支出</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年初预算为0万元，支出决算为18.37万元，决算数大于年初预算数的主要原因是：编制年初预算时，误将相关费用全部归集到“一般公共服务支出-商贸事务-行政运行”。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hAnsi="黑体"/>
          <w:b/>
          <w:sz w:val="32"/>
          <w:szCs w:val="32"/>
        </w:rPr>
        <w:t>13、城乡社区支出-城乡社区公共设施-其他</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年初预算为0万元，支出决算为74.54万元，决算数大于年初预算数的主要原因是：编制年初预算时，未预计到乡镇农贸市场建设。</w:t>
      </w:r>
    </w:p>
    <w:p>
      <w:pPr>
        <w:pStyle w:val="9"/>
        <w:spacing w:line="600" w:lineRule="exact"/>
        <w:ind w:firstLine="800" w:firstLineChars="250"/>
        <w:rPr>
          <w:rFonts w:hint="eastAsia" w:hAnsi="黑体"/>
          <w:b/>
          <w:sz w:val="32"/>
          <w:szCs w:val="32"/>
        </w:rPr>
      </w:pPr>
      <w:r>
        <w:rPr>
          <w:rFonts w:hint="eastAsia" w:hAnsi="黑体"/>
          <w:b/>
          <w:sz w:val="32"/>
          <w:szCs w:val="32"/>
        </w:rPr>
        <w:t>14、商业服务业等支出-商业流通事务-其他</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年初预算为0万元，支出决算为706.25万元，决算数大于年初预算数的主要原因是：编制年初预算时，未预计到财政资金特别是上级财政资金对商贸流通事务的投入。</w:t>
      </w:r>
    </w:p>
    <w:p>
      <w:pPr>
        <w:pStyle w:val="9"/>
        <w:spacing w:line="600" w:lineRule="exact"/>
        <w:ind w:firstLine="800" w:firstLineChars="250"/>
        <w:rPr>
          <w:rFonts w:hint="eastAsia" w:hAnsi="黑体"/>
          <w:b/>
          <w:sz w:val="32"/>
          <w:szCs w:val="32"/>
        </w:rPr>
      </w:pPr>
      <w:r>
        <w:rPr>
          <w:rFonts w:hint="eastAsia" w:hAnsi="黑体"/>
          <w:b/>
          <w:sz w:val="32"/>
          <w:szCs w:val="32"/>
        </w:rPr>
        <w:t>15、住房保障支出-住房改革支出-住房公积金</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年初预算为0万元，支出决算为15.5万元，决算数大于年初预算数的主要原因是：编制年初预算时，误将相关费用全部归集到“一般公共服务支出-商贸事务-行政运行”。</w:t>
      </w:r>
    </w:p>
    <w:p>
      <w:pPr>
        <w:pStyle w:val="9"/>
        <w:spacing w:line="600" w:lineRule="exact"/>
        <w:ind w:firstLine="800" w:firstLineChars="250"/>
        <w:rPr>
          <w:rFonts w:hint="eastAsia" w:hAnsi="黑体"/>
          <w:b/>
          <w:sz w:val="32"/>
          <w:szCs w:val="32"/>
        </w:rPr>
      </w:pPr>
      <w:r>
        <w:rPr>
          <w:rFonts w:hint="eastAsia" w:hAnsi="黑体"/>
          <w:b/>
          <w:sz w:val="32"/>
          <w:szCs w:val="32"/>
        </w:rPr>
        <w:t>16、其他支出-其他支出-其他</w:t>
      </w:r>
    </w:p>
    <w:p>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年初预算为0万元，支出决算为26.51万元，决算数大于年初预算数的主要原因是：编制年初预算时，误将相关费用全部归集到“一般公共服务支出-商贸事务-行政运行”。</w:t>
      </w:r>
    </w:p>
    <w:p>
      <w:pPr>
        <w:pStyle w:val="9"/>
        <w:spacing w:line="600" w:lineRule="exact"/>
        <w:ind w:firstLine="640" w:firstLineChars="200"/>
        <w:rPr>
          <w:rFonts w:hAnsi="黑体"/>
          <w:b/>
          <w:bCs/>
          <w:sz w:val="32"/>
          <w:szCs w:val="32"/>
        </w:rPr>
      </w:pPr>
      <w:r>
        <w:rPr>
          <w:rFonts w:hint="eastAsia" w:hAnsi="黑体"/>
          <w:b/>
          <w:bCs/>
          <w:sz w:val="32"/>
          <w:szCs w:val="32"/>
        </w:rPr>
        <w:t>六、一般公共预算财政拨款基本支出决算情况说明</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2022年度财政拨款基本支出553.66万元，其中：</w:t>
      </w:r>
    </w:p>
    <w:p>
      <w:pPr>
        <w:pStyle w:val="9"/>
        <w:spacing w:line="600" w:lineRule="exact"/>
        <w:ind w:firstLine="640" w:firstLineChars="200"/>
        <w:rPr>
          <w:rFonts w:ascii="Times New Roman" w:hAnsi="Times New Roman" w:eastAsia="仿宋_GB2312"/>
          <w:sz w:val="32"/>
          <w:szCs w:val="32"/>
        </w:rPr>
      </w:pPr>
      <w:r>
        <w:rPr>
          <w:rFonts w:hint="eastAsia" w:hAnsi="黑体"/>
          <w:b/>
          <w:bCs/>
          <w:sz w:val="32"/>
          <w:szCs w:val="32"/>
        </w:rPr>
        <w:t>（一）人员经费</w:t>
      </w:r>
      <w:r>
        <w:rPr>
          <w:rFonts w:hint="eastAsia" w:ascii="Times New Roman" w:hAnsi="Times New Roman" w:eastAsia="仿宋_GB2312"/>
          <w:sz w:val="32"/>
          <w:szCs w:val="32"/>
        </w:rPr>
        <w:t>443.03万元，占基本支出的80.02%,主要包括基本工资、津贴补贴、奖金、机关事业单位基本养老保险缴费、职工基本医疗保险缴费、其他社会保障缴费、住房公积金、医疗费、其他工资福利支出、抚恤金、生活补助、奖励金、其他对个人和家庭的补助。</w:t>
      </w:r>
    </w:p>
    <w:p>
      <w:pPr>
        <w:pStyle w:val="9"/>
        <w:spacing w:line="600" w:lineRule="exact"/>
        <w:ind w:firstLine="640" w:firstLineChars="200"/>
        <w:rPr>
          <w:rFonts w:ascii="Times New Roman" w:hAnsi="Times New Roman" w:eastAsia="仿宋_GB2312"/>
          <w:b/>
          <w:sz w:val="32"/>
          <w:szCs w:val="32"/>
        </w:rPr>
      </w:pPr>
      <w:r>
        <w:rPr>
          <w:rFonts w:hint="eastAsia" w:hAnsi="黑体"/>
          <w:b/>
          <w:bCs/>
          <w:sz w:val="32"/>
          <w:szCs w:val="32"/>
        </w:rPr>
        <w:t>（二）公用经费</w:t>
      </w:r>
      <w:r>
        <w:rPr>
          <w:rFonts w:hint="eastAsia" w:ascii="Times New Roman" w:hAnsi="Times New Roman" w:eastAsia="仿宋_GB2312"/>
          <w:sz w:val="32"/>
          <w:szCs w:val="32"/>
        </w:rPr>
        <w:t>110.63万元，占基本支出的19.98%，主要包括办公费、印刷费、水电费、邮电费、差旅费、维修（护）费、公务接待费、劳务费、委托业务费、工会经费、福利费和其他。</w:t>
      </w:r>
    </w:p>
    <w:p>
      <w:pPr>
        <w:pStyle w:val="9"/>
        <w:spacing w:line="600" w:lineRule="exact"/>
        <w:ind w:firstLine="640" w:firstLineChars="200"/>
        <w:rPr>
          <w:rFonts w:hAnsi="黑体"/>
          <w:b/>
          <w:bCs/>
          <w:sz w:val="32"/>
          <w:szCs w:val="32"/>
        </w:rPr>
      </w:pPr>
      <w:r>
        <w:rPr>
          <w:rFonts w:hint="eastAsia" w:hAnsi="黑体"/>
          <w:b/>
          <w:bCs/>
          <w:sz w:val="32"/>
          <w:szCs w:val="32"/>
        </w:rPr>
        <w:t>七、财政拨款三公经费支出决算情况说明</w:t>
      </w:r>
    </w:p>
    <w:p>
      <w:pPr>
        <w:pStyle w:val="9"/>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“三公”经费财政拨款支出预算为10.08万元，支出决算为2.59万元，完成预算的25.69%，其中：</w:t>
      </w:r>
    </w:p>
    <w:p>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w:t>
      </w:r>
    </w:p>
    <w:p>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10.08万元，支出决算为2.59万元，完成预算的25.69%，决算数小于预算数的主要原因是厉行节约，与上年相比增加2.36万元，增长的主要原因是部分2021年公务接待费用，因单位财政困难，延期至2022年完成报账。</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公务用车运行维护费支出预算为0万元，支出决算为0万元。</w:t>
      </w:r>
    </w:p>
    <w:p>
      <w:pPr>
        <w:pStyle w:val="9"/>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2022年度“三公”经费财政拨款支出决算中，公务接待费支出决算2.59万元，占100%,因公出国（境）费支出决算0万元，公务用车购置费及运行维护费支出决算0万元。其中：</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公务接待费支出决算为2.59万元，全年共接待来访团组37个、来宾243人次，主要是乡镇来单位对接工作、迎接上级检查等发生的接待支出。</w:t>
      </w:r>
    </w:p>
    <w:p>
      <w:pPr>
        <w:pStyle w:val="9"/>
        <w:spacing w:line="600" w:lineRule="exact"/>
        <w:ind w:firstLine="640" w:firstLineChars="200"/>
        <w:rPr>
          <w:rFonts w:hint="eastAsia" w:hAnsi="黑体"/>
          <w:b/>
          <w:bCs/>
          <w:sz w:val="32"/>
          <w:szCs w:val="32"/>
        </w:rPr>
      </w:pPr>
      <w:r>
        <w:rPr>
          <w:rFonts w:hint="eastAsia" w:hAnsi="黑体"/>
          <w:b/>
          <w:bCs/>
          <w:sz w:val="32"/>
          <w:szCs w:val="32"/>
        </w:rPr>
        <w:t>八、政府性基金预算收入支出决算情况</w:t>
      </w:r>
    </w:p>
    <w:p>
      <w:pPr>
        <w:pStyle w:val="9"/>
        <w:spacing w:line="600" w:lineRule="exact"/>
        <w:ind w:firstLine="640" w:firstLineChars="200"/>
        <w:rPr>
          <w:rFonts w:hAnsi="黑体"/>
          <w:b/>
          <w:bCs/>
          <w:sz w:val="32"/>
          <w:szCs w:val="32"/>
        </w:rPr>
      </w:pPr>
      <w:r>
        <w:rPr>
          <w:rFonts w:hint="eastAsia" w:ascii="Times New Roman" w:hAnsi="Times New Roman" w:eastAsia="仿宋_GB2312"/>
          <w:sz w:val="32"/>
          <w:szCs w:val="32"/>
        </w:rPr>
        <w:t>2022年本单位无政府性基金收支。</w:t>
      </w:r>
    </w:p>
    <w:p>
      <w:pPr>
        <w:pStyle w:val="9"/>
        <w:spacing w:line="600" w:lineRule="exact"/>
        <w:ind w:firstLine="640" w:firstLineChars="200"/>
        <w:rPr>
          <w:rFonts w:hAnsi="黑体"/>
          <w:b/>
          <w:bCs/>
          <w:sz w:val="32"/>
          <w:szCs w:val="32"/>
        </w:rPr>
      </w:pPr>
      <w:r>
        <w:rPr>
          <w:rFonts w:hint="eastAsia" w:hAnsi="黑体"/>
          <w:b/>
          <w:bCs/>
          <w:sz w:val="32"/>
          <w:szCs w:val="32"/>
        </w:rPr>
        <w:t>九、国有资本经营预算收入支出决算情况</w:t>
      </w:r>
    </w:p>
    <w:p>
      <w:pPr>
        <w:pStyle w:val="9"/>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sz w:val="32"/>
          <w:szCs w:val="32"/>
        </w:rPr>
        <w:t>2022年本单位无国有资本经营预算收支。</w:t>
      </w:r>
    </w:p>
    <w:p>
      <w:pPr>
        <w:pStyle w:val="9"/>
        <w:spacing w:line="600" w:lineRule="exact"/>
        <w:ind w:firstLine="640" w:firstLineChars="200"/>
        <w:rPr>
          <w:rFonts w:hAnsi="黑体"/>
          <w:b/>
          <w:bCs/>
          <w:sz w:val="32"/>
          <w:szCs w:val="32"/>
        </w:rPr>
      </w:pPr>
      <w:r>
        <w:rPr>
          <w:rFonts w:hint="eastAsia" w:hAnsi="黑体"/>
          <w:b/>
          <w:bCs/>
          <w:sz w:val="32"/>
          <w:szCs w:val="32"/>
        </w:rPr>
        <w:t>十、关于机关运行经费支出说明</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本部门2022年度机关运行经费支出110.63万元，比上年决算数减少84.96万元，降低43.44%。主要原因是：厉行节约，大幅压缩办公经费。</w:t>
      </w:r>
    </w:p>
    <w:p>
      <w:pPr>
        <w:pStyle w:val="9"/>
        <w:spacing w:line="600" w:lineRule="exact"/>
        <w:ind w:firstLine="640" w:firstLineChars="200"/>
        <w:rPr>
          <w:rFonts w:hAnsi="黑体"/>
          <w:b/>
          <w:bCs/>
          <w:sz w:val="32"/>
          <w:szCs w:val="32"/>
        </w:rPr>
      </w:pPr>
      <w:r>
        <w:rPr>
          <w:rFonts w:hint="eastAsia" w:hAnsi="黑体"/>
          <w:b/>
          <w:bCs/>
          <w:sz w:val="32"/>
          <w:szCs w:val="32"/>
        </w:rPr>
        <w:t>十一、一般性支出情况说明</w:t>
      </w:r>
    </w:p>
    <w:p>
      <w:pPr>
        <w:pStyle w:val="9"/>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2022年本部门开支会议费0万元，开支培训费0万元。</w:t>
      </w:r>
    </w:p>
    <w:p>
      <w:pPr>
        <w:pStyle w:val="9"/>
        <w:spacing w:line="600" w:lineRule="exact"/>
        <w:ind w:firstLine="640" w:firstLineChars="200"/>
        <w:rPr>
          <w:rFonts w:hAnsi="黑体"/>
          <w:b/>
          <w:bCs/>
          <w:sz w:val="32"/>
          <w:szCs w:val="32"/>
        </w:rPr>
      </w:pPr>
      <w:r>
        <w:rPr>
          <w:rFonts w:hint="eastAsia" w:hAnsi="黑体"/>
          <w:b/>
          <w:bCs/>
          <w:sz w:val="32"/>
          <w:szCs w:val="32"/>
        </w:rPr>
        <w:t>十二、关于政府采购支出说明</w:t>
      </w:r>
    </w:p>
    <w:p>
      <w:pPr>
        <w:pStyle w:val="9"/>
        <w:spacing w:line="600" w:lineRule="exact"/>
        <w:ind w:firstLine="640" w:firstLineChars="200"/>
        <w:rPr>
          <w:rFonts w:hAnsi="黑体" w:cs="楷体"/>
          <w:b/>
          <w:bCs/>
          <w:i/>
          <w:color w:val="auto"/>
          <w:sz w:val="32"/>
          <w:szCs w:val="32"/>
        </w:rPr>
      </w:pPr>
      <w:r>
        <w:rPr>
          <w:rFonts w:hint="eastAsia" w:ascii="Times New Roman" w:hAnsi="Times New Roman" w:eastAsia="仿宋_GB2312"/>
          <w:sz w:val="32"/>
          <w:szCs w:val="32"/>
        </w:rPr>
        <w:t>本部门2022年度政府采购支出总额0万元。</w:t>
      </w:r>
      <w:r>
        <w:rPr>
          <w:rFonts w:hint="eastAsia" w:hAnsi="黑体"/>
          <w:b/>
          <w:sz w:val="32"/>
          <w:szCs w:val="32"/>
        </w:rPr>
        <w:t>（政府采购金额的计算口径为：本部门纳入2022年度部门预算范围的各项政府采购支出金额之和，不包括涉密采购项目的支出金额）</w:t>
      </w:r>
    </w:p>
    <w:p>
      <w:pPr>
        <w:pStyle w:val="9"/>
        <w:spacing w:line="600" w:lineRule="exact"/>
        <w:ind w:firstLine="640" w:firstLineChars="200"/>
        <w:rPr>
          <w:rFonts w:hAnsi="黑体"/>
          <w:b/>
          <w:bCs/>
          <w:sz w:val="32"/>
          <w:szCs w:val="32"/>
        </w:rPr>
      </w:pPr>
      <w:r>
        <w:rPr>
          <w:rFonts w:hint="eastAsia" w:hAnsi="黑体"/>
          <w:b/>
          <w:bCs/>
          <w:sz w:val="32"/>
          <w:szCs w:val="32"/>
        </w:rPr>
        <w:t>十三、关于国有资产占用情况说明</w:t>
      </w:r>
    </w:p>
    <w:p>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截至2022年12月31日，本单位共有车辆0辆；单位价值50万元以上通用设备0台（套）；单位价值100万元以上专用设备0台（套）。</w:t>
      </w:r>
    </w:p>
    <w:p>
      <w:pPr>
        <w:pStyle w:val="9"/>
        <w:spacing w:line="600" w:lineRule="exact"/>
        <w:ind w:firstLine="640" w:firstLineChars="200"/>
        <w:rPr>
          <w:rFonts w:hAnsi="黑体"/>
          <w:b/>
          <w:bCs/>
          <w:sz w:val="32"/>
          <w:szCs w:val="32"/>
        </w:rPr>
      </w:pPr>
      <w:r>
        <w:rPr>
          <w:rFonts w:hint="eastAsia" w:hAnsi="黑体"/>
          <w:b/>
          <w:bCs/>
          <w:sz w:val="32"/>
          <w:szCs w:val="32"/>
        </w:rPr>
        <w:t>十四、关于2022年度预算绩效情况的说明</w:t>
      </w:r>
    </w:p>
    <w:p>
      <w:pPr>
        <w:pStyle w:val="9"/>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（一）部门整体支出绩效情况</w:t>
      </w:r>
    </w:p>
    <w:p>
      <w:pPr>
        <w:spacing w:line="600" w:lineRule="exact"/>
        <w:ind w:firstLine="640" w:firstLineChars="200"/>
        <w:rPr>
          <w:rFonts w:hint="eastAsia" w:ascii="Times New Roman" w:hAnsi="Times New Roman" w:eastAsia="仿宋_GB2312" w:cs="黑体"/>
          <w:color w:val="000000"/>
          <w:kern w:val="0"/>
          <w:sz w:val="32"/>
          <w:szCs w:val="32"/>
        </w:rPr>
      </w:pPr>
      <w:r>
        <w:rPr>
          <w:rFonts w:hint="eastAsia" w:ascii="楷体" w:hAnsi="楷体" w:eastAsia="楷体" w:cs="楷体"/>
          <w:b/>
          <w:bCs/>
          <w:color w:val="000000"/>
          <w:kern w:val="0"/>
          <w:sz w:val="32"/>
          <w:szCs w:val="32"/>
        </w:rPr>
        <w:t>1、省外境内到位资金。</w:t>
      </w:r>
      <w:r>
        <w:rPr>
          <w:rFonts w:hint="eastAsia" w:ascii="Times New Roman" w:hAnsi="Times New Roman" w:eastAsia="仿宋_GB2312" w:cs="黑体"/>
          <w:color w:val="000000"/>
          <w:kern w:val="0"/>
          <w:sz w:val="32"/>
          <w:szCs w:val="32"/>
        </w:rPr>
        <w:t>绩效目标54亿元，实际到位资金56.258亿元，完成率104.18%；</w:t>
      </w:r>
    </w:p>
    <w:p>
      <w:pPr>
        <w:spacing w:line="600" w:lineRule="exact"/>
        <w:ind w:firstLine="640" w:firstLineChars="200"/>
        <w:rPr>
          <w:rFonts w:hint="eastAsia" w:ascii="Times New Roman" w:hAnsi="Times New Roman" w:eastAsia="仿宋_GB2312" w:cs="黑体"/>
          <w:color w:val="000000"/>
          <w:kern w:val="0"/>
          <w:sz w:val="32"/>
          <w:szCs w:val="32"/>
        </w:rPr>
      </w:pPr>
      <w:r>
        <w:rPr>
          <w:rFonts w:hint="eastAsia" w:ascii="楷体" w:hAnsi="楷体" w:eastAsia="楷体" w:cs="楷体"/>
          <w:b/>
          <w:bCs/>
          <w:color w:val="000000"/>
          <w:kern w:val="0"/>
          <w:sz w:val="32"/>
          <w:szCs w:val="32"/>
        </w:rPr>
        <w:t>2、外贸进出口。</w:t>
      </w:r>
      <w:r>
        <w:rPr>
          <w:rFonts w:hint="eastAsia" w:ascii="Times New Roman" w:hAnsi="Times New Roman" w:eastAsia="仿宋_GB2312" w:cs="黑体"/>
          <w:color w:val="000000"/>
          <w:kern w:val="0"/>
          <w:sz w:val="32"/>
          <w:szCs w:val="32"/>
        </w:rPr>
        <w:t>绩效目标8000万元，实际完成9126万元，完成率114.08%；</w:t>
      </w:r>
    </w:p>
    <w:p>
      <w:pPr>
        <w:spacing w:line="600" w:lineRule="exact"/>
        <w:ind w:firstLine="640" w:firstLineChars="200"/>
        <w:rPr>
          <w:rFonts w:hint="eastAsia" w:ascii="Times New Roman" w:hAnsi="Times New Roman" w:eastAsia="仿宋_GB2312" w:cs="黑体"/>
          <w:color w:val="000000"/>
          <w:kern w:val="0"/>
          <w:sz w:val="32"/>
          <w:szCs w:val="32"/>
        </w:rPr>
      </w:pPr>
      <w:r>
        <w:rPr>
          <w:rFonts w:hint="eastAsia" w:ascii="楷体" w:hAnsi="楷体" w:eastAsia="楷体" w:cs="楷体"/>
          <w:b/>
          <w:bCs/>
          <w:color w:val="000000"/>
          <w:kern w:val="0"/>
          <w:sz w:val="32"/>
          <w:szCs w:val="32"/>
        </w:rPr>
        <w:t>3、新引进项目数。</w:t>
      </w:r>
      <w:r>
        <w:rPr>
          <w:rFonts w:hint="eastAsia" w:ascii="Times New Roman" w:hAnsi="Times New Roman" w:eastAsia="仿宋_GB2312" w:cs="黑体"/>
          <w:color w:val="000000"/>
          <w:kern w:val="0"/>
          <w:sz w:val="32"/>
          <w:szCs w:val="32"/>
        </w:rPr>
        <w:t>绩效目标数15个，实际引进项目数17个，完成率113.33%，其中2亿元-10亿元8个，10亿元以上2个，</w:t>
      </w:r>
      <w:r>
        <w:rPr>
          <w:rFonts w:ascii="Times New Roman" w:hAnsi="Times New Roman" w:eastAsia="仿宋_GB2312" w:cs="黑体"/>
          <w:color w:val="000000"/>
          <w:kern w:val="0"/>
          <w:sz w:val="32"/>
          <w:szCs w:val="32"/>
        </w:rPr>
        <w:t>合同引资金额</w:t>
      </w:r>
      <w:r>
        <w:rPr>
          <w:rFonts w:hint="eastAsia" w:ascii="Times New Roman" w:hAnsi="Times New Roman" w:eastAsia="仿宋_GB2312" w:cs="黑体"/>
          <w:color w:val="000000"/>
          <w:kern w:val="0"/>
          <w:sz w:val="32"/>
          <w:szCs w:val="32"/>
        </w:rPr>
        <w:t>41.08</w:t>
      </w:r>
      <w:r>
        <w:rPr>
          <w:rFonts w:ascii="Times New Roman" w:hAnsi="Times New Roman" w:eastAsia="仿宋_GB2312" w:cs="黑体"/>
          <w:color w:val="000000"/>
          <w:kern w:val="0"/>
          <w:sz w:val="32"/>
          <w:szCs w:val="32"/>
        </w:rPr>
        <w:t>亿元</w:t>
      </w:r>
      <w:r>
        <w:rPr>
          <w:rFonts w:hint="eastAsia" w:ascii="Times New Roman" w:hAnsi="Times New Roman" w:eastAsia="仿宋_GB2312" w:cs="黑体"/>
          <w:color w:val="000000"/>
          <w:kern w:val="0"/>
          <w:sz w:val="32"/>
          <w:szCs w:val="32"/>
        </w:rPr>
        <w:t>；</w:t>
      </w:r>
    </w:p>
    <w:p>
      <w:pPr>
        <w:pStyle w:val="9"/>
        <w:spacing w:line="600" w:lineRule="exact"/>
        <w:ind w:firstLine="640" w:firstLineChars="200"/>
        <w:rPr>
          <w:rFonts w:hint="eastAsia" w:ascii="Times New Roman" w:hAnsi="Times New Roman" w:eastAsia="仿宋_GB2312"/>
          <w:sz w:val="32"/>
          <w:szCs w:val="32"/>
        </w:rPr>
      </w:pPr>
      <w:r>
        <w:rPr>
          <w:rFonts w:hint="eastAsia" w:ascii="楷体" w:hAnsi="楷体" w:eastAsia="楷体" w:cs="楷体"/>
          <w:b/>
          <w:bCs/>
          <w:sz w:val="32"/>
          <w:szCs w:val="32"/>
        </w:rPr>
        <w:t>4、引进“三类500强”企业数。</w:t>
      </w:r>
      <w:r>
        <w:rPr>
          <w:rFonts w:hint="eastAsia" w:ascii="Times New Roman" w:hAnsi="Times New Roman" w:eastAsia="仿宋_GB2312"/>
          <w:sz w:val="32"/>
          <w:szCs w:val="32"/>
        </w:rPr>
        <w:t>绩效目标数3家，实际引进3家，完成率100%，即国电电力分布式光伏项目、三一环卫装备智能制造项目、新疆兵团沅水生态修复项目（首次入湘中国500强）；完成湘商回归投资项目4个，投资金额达5.5亿元。</w:t>
      </w:r>
    </w:p>
    <w:p>
      <w:pPr>
        <w:pStyle w:val="9"/>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（二）存在的问题及原因分析</w:t>
      </w:r>
    </w:p>
    <w:p>
      <w:pPr>
        <w:spacing w:line="600" w:lineRule="exact"/>
        <w:ind w:firstLine="640" w:firstLineChars="200"/>
        <w:rPr>
          <w:rFonts w:ascii="Times New Roman" w:hAnsi="Times New Roman" w:eastAsia="仿宋_GB2312" w:cs="黑体"/>
          <w:color w:val="000000"/>
          <w:kern w:val="0"/>
          <w:sz w:val="32"/>
          <w:szCs w:val="32"/>
        </w:rPr>
      </w:pPr>
      <w:r>
        <w:rPr>
          <w:rFonts w:hint="eastAsia" w:ascii="楷体" w:hAnsi="楷体" w:eastAsia="楷体" w:cs="楷体"/>
          <w:b/>
          <w:bCs/>
          <w:color w:val="000000"/>
          <w:kern w:val="0"/>
          <w:sz w:val="32"/>
          <w:szCs w:val="32"/>
        </w:rPr>
        <w:t>1、本地资源挖掘不够，吸引企业力度不强。</w:t>
      </w:r>
      <w:r>
        <w:rPr>
          <w:rFonts w:hint="eastAsia" w:ascii="Times New Roman" w:hAnsi="Times New Roman" w:eastAsia="仿宋_GB2312" w:cs="黑体"/>
          <w:color w:val="000000"/>
          <w:kern w:val="0"/>
          <w:sz w:val="32"/>
          <w:szCs w:val="32"/>
        </w:rPr>
        <w:t>我市产业研究不够深入，挖掘本地资源优势力度不强，招引项目产业配套、链条延伸方面关联度较低，吸引客商的大项目、好项目、新项目不多，难以形成特色鲜明的产业集群。</w:t>
      </w:r>
    </w:p>
    <w:p>
      <w:pPr>
        <w:spacing w:line="600" w:lineRule="exact"/>
        <w:ind w:firstLine="640" w:firstLineChars="200"/>
        <w:rPr>
          <w:rFonts w:ascii="Times New Roman" w:hAnsi="Times New Roman" w:eastAsia="仿宋_GB2312" w:cs="黑体"/>
          <w:color w:val="000000"/>
          <w:kern w:val="0"/>
          <w:sz w:val="32"/>
          <w:szCs w:val="32"/>
        </w:rPr>
      </w:pPr>
      <w:r>
        <w:rPr>
          <w:rFonts w:hint="eastAsia" w:ascii="楷体" w:hAnsi="楷体" w:eastAsia="楷体" w:cs="楷体"/>
          <w:b/>
          <w:bCs/>
          <w:color w:val="000000"/>
          <w:kern w:val="0"/>
          <w:sz w:val="32"/>
          <w:szCs w:val="32"/>
        </w:rPr>
        <w:t>2、外资、外经工作短板突出。</w:t>
      </w:r>
      <w:r>
        <w:rPr>
          <w:rFonts w:hint="eastAsia" w:ascii="Times New Roman" w:hAnsi="Times New Roman" w:eastAsia="仿宋_GB2312" w:cs="黑体"/>
          <w:color w:val="000000"/>
          <w:kern w:val="0"/>
          <w:sz w:val="32"/>
          <w:szCs w:val="32"/>
        </w:rPr>
        <w:t>我市有外资背景的企业存量少，受地域限制引进外资企业较困难，作为经济欠发达地区，没有大型企业对外投资，外资、外经工作短板突出。</w:t>
      </w:r>
    </w:p>
    <w:p>
      <w:pPr>
        <w:pStyle w:val="9"/>
        <w:spacing w:line="600" w:lineRule="exact"/>
        <w:jc w:val="center"/>
        <w:rPr>
          <w:rFonts w:ascii="Times New Roman" w:hAnsi="Times New Roman" w:eastAsia="仿宋_GB2312"/>
          <w:sz w:val="32"/>
          <w:szCs w:val="32"/>
        </w:rPr>
      </w:pPr>
      <w:r>
        <w:rPr>
          <w:rFonts w:hint="eastAsia" w:ascii="楷体" w:hAnsi="楷体" w:eastAsia="楷体" w:cs="楷体"/>
          <w:b/>
          <w:bCs/>
          <w:sz w:val="32"/>
          <w:szCs w:val="32"/>
        </w:rPr>
        <w:t xml:space="preserve">    3、外贸企业体量小、进出口量不高。</w:t>
      </w:r>
      <w:r>
        <w:rPr>
          <w:rFonts w:hint="eastAsia" w:ascii="Times New Roman" w:hAnsi="Times New Roman" w:eastAsia="仿宋_GB2312"/>
          <w:sz w:val="32"/>
          <w:szCs w:val="32"/>
        </w:rPr>
        <w:t>现有存量外贸企业规模不大，资金实力不雄厚，外贸进出口业务开展没有达到一定规模，经营过程中因抗风险能力低，部分企业依托货代公司开展外贸业务，本地数据留存度低。</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both"/>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ascii="方正小标宋_GBK" w:hAnsi="方正小标宋_GBK" w:eastAsia="方正小标宋_GBK" w:cs="方正小标宋_GBK"/>
          <w:color w:val="000000"/>
          <w:kern w:val="0"/>
          <w:sz w:val="70"/>
          <w:szCs w:val="70"/>
        </w:rPr>
      </w:pPr>
    </w:p>
    <w:p>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spacing w:line="520" w:lineRule="exact"/>
        <w:ind w:firstLine="800" w:firstLineChars="250"/>
        <w:jc w:val="left"/>
        <w:rPr>
          <w:rFonts w:ascii="Times New Roman" w:hAnsi="Times New Roman" w:eastAsia="仿宋_GB2312" w:cs="Times New Roman"/>
          <w:sz w:val="32"/>
          <w:szCs w:val="32"/>
        </w:rPr>
      </w:pPr>
      <w:r>
        <w:rPr>
          <w:rFonts w:hint="eastAsia" w:ascii="楷体" w:hAnsi="楷体" w:eastAsia="楷体" w:cs="楷体"/>
          <w:b/>
          <w:bCs/>
          <w:color w:val="000000"/>
          <w:kern w:val="0"/>
          <w:sz w:val="32"/>
          <w:szCs w:val="32"/>
        </w:rPr>
        <w:t>一、</w:t>
      </w:r>
      <w:r>
        <w:rPr>
          <w:rFonts w:ascii="楷体" w:hAnsi="楷体" w:eastAsia="楷体" w:cs="楷体"/>
          <w:b/>
          <w:bCs/>
          <w:color w:val="000000"/>
          <w:kern w:val="0"/>
          <w:sz w:val="32"/>
          <w:szCs w:val="32"/>
        </w:rPr>
        <w:t>机关运行经费：</w:t>
      </w:r>
      <w:r>
        <w:rPr>
          <w:rFonts w:ascii="Times New Roman" w:hAnsi="Times New Roman" w:eastAsia="仿宋_GB2312" w:cs="Times New Roman"/>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spacing w:line="520" w:lineRule="exact"/>
        <w:ind w:firstLine="800" w:firstLineChars="250"/>
        <w:jc w:val="left"/>
        <w:rPr>
          <w:rFonts w:ascii="Times New Roman" w:hAnsi="Times New Roman" w:eastAsia="仿宋_GB2312" w:cs="Times New Roman"/>
          <w:sz w:val="32"/>
          <w:szCs w:val="32"/>
        </w:rPr>
      </w:pPr>
      <w:r>
        <w:rPr>
          <w:rFonts w:hint="eastAsia" w:ascii="楷体" w:hAnsi="楷体" w:eastAsia="楷体" w:cs="楷体"/>
          <w:b/>
          <w:bCs/>
          <w:color w:val="000000"/>
          <w:kern w:val="0"/>
          <w:sz w:val="32"/>
          <w:szCs w:val="32"/>
        </w:rPr>
        <w:t>二</w:t>
      </w:r>
      <w:r>
        <w:rPr>
          <w:rFonts w:ascii="楷体" w:hAnsi="楷体" w:eastAsia="楷体" w:cs="楷体"/>
          <w:b/>
          <w:bCs/>
          <w:color w:val="000000"/>
          <w:kern w:val="0"/>
          <w:sz w:val="32"/>
          <w:szCs w:val="32"/>
        </w:rPr>
        <w:t>、“三公”经费：</w:t>
      </w:r>
      <w:r>
        <w:rPr>
          <w:rFonts w:ascii="Times New Roman" w:hAnsi="Times New Roman" w:eastAsia="仿宋_GB2312" w:cs="Times New Roman"/>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bookmarkStart w:id="3" w:name="_GoBack"/>
      <w:bookmarkEnd w:id="3"/>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微软雅黑"/>
    <w:panose1 w:val="00000000000000000000"/>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ExZjgyMWU5YjliYWJjMzQwYzVmMWM2Y2RjZmZlZmEifQ=="/>
  </w:docVars>
  <w:rsids>
    <w:rsidRoot w:val="004506F9"/>
    <w:rsid w:val="00015434"/>
    <w:rsid w:val="0002229B"/>
    <w:rsid w:val="000273BD"/>
    <w:rsid w:val="000304C2"/>
    <w:rsid w:val="00040CBC"/>
    <w:rsid w:val="000415B7"/>
    <w:rsid w:val="00041E3F"/>
    <w:rsid w:val="00055DAA"/>
    <w:rsid w:val="00061F7B"/>
    <w:rsid w:val="000658A3"/>
    <w:rsid w:val="00074155"/>
    <w:rsid w:val="000A3F69"/>
    <w:rsid w:val="00103957"/>
    <w:rsid w:val="00125186"/>
    <w:rsid w:val="00144D19"/>
    <w:rsid w:val="00152C6D"/>
    <w:rsid w:val="00162D39"/>
    <w:rsid w:val="001678BD"/>
    <w:rsid w:val="00182373"/>
    <w:rsid w:val="001A67DB"/>
    <w:rsid w:val="001C3C29"/>
    <w:rsid w:val="001C3E8D"/>
    <w:rsid w:val="001D51E5"/>
    <w:rsid w:val="001E080D"/>
    <w:rsid w:val="001E53D0"/>
    <w:rsid w:val="001F0C3B"/>
    <w:rsid w:val="00202C82"/>
    <w:rsid w:val="00214427"/>
    <w:rsid w:val="00226CB7"/>
    <w:rsid w:val="00264552"/>
    <w:rsid w:val="00264EF9"/>
    <w:rsid w:val="00265724"/>
    <w:rsid w:val="0027426B"/>
    <w:rsid w:val="002775D5"/>
    <w:rsid w:val="002E0A30"/>
    <w:rsid w:val="003130C4"/>
    <w:rsid w:val="00316C4B"/>
    <w:rsid w:val="0032192B"/>
    <w:rsid w:val="00336E30"/>
    <w:rsid w:val="003479BD"/>
    <w:rsid w:val="0037197D"/>
    <w:rsid w:val="003768D5"/>
    <w:rsid w:val="003926B9"/>
    <w:rsid w:val="003C47E6"/>
    <w:rsid w:val="003C4FC2"/>
    <w:rsid w:val="003D0872"/>
    <w:rsid w:val="00416E61"/>
    <w:rsid w:val="0042790C"/>
    <w:rsid w:val="004506F9"/>
    <w:rsid w:val="004717A2"/>
    <w:rsid w:val="00473DF3"/>
    <w:rsid w:val="00487911"/>
    <w:rsid w:val="00491741"/>
    <w:rsid w:val="00494699"/>
    <w:rsid w:val="004B0CEE"/>
    <w:rsid w:val="004E42BF"/>
    <w:rsid w:val="00500E5F"/>
    <w:rsid w:val="005122EF"/>
    <w:rsid w:val="0051441A"/>
    <w:rsid w:val="00517C33"/>
    <w:rsid w:val="00517D5F"/>
    <w:rsid w:val="00523644"/>
    <w:rsid w:val="0054069E"/>
    <w:rsid w:val="00544866"/>
    <w:rsid w:val="00554B57"/>
    <w:rsid w:val="005767CC"/>
    <w:rsid w:val="00590D9F"/>
    <w:rsid w:val="00595D26"/>
    <w:rsid w:val="005A74E6"/>
    <w:rsid w:val="005B381B"/>
    <w:rsid w:val="005B404E"/>
    <w:rsid w:val="005D4D55"/>
    <w:rsid w:val="005E2CFB"/>
    <w:rsid w:val="005F2103"/>
    <w:rsid w:val="005F36BB"/>
    <w:rsid w:val="005F3D1C"/>
    <w:rsid w:val="0062378F"/>
    <w:rsid w:val="00630097"/>
    <w:rsid w:val="00641842"/>
    <w:rsid w:val="006475F5"/>
    <w:rsid w:val="00651EEC"/>
    <w:rsid w:val="00666875"/>
    <w:rsid w:val="006704AC"/>
    <w:rsid w:val="00686673"/>
    <w:rsid w:val="00691E8C"/>
    <w:rsid w:val="006A22C4"/>
    <w:rsid w:val="006A351B"/>
    <w:rsid w:val="006B0422"/>
    <w:rsid w:val="006C1B53"/>
    <w:rsid w:val="006D7730"/>
    <w:rsid w:val="006E5284"/>
    <w:rsid w:val="006F3EB5"/>
    <w:rsid w:val="00702E34"/>
    <w:rsid w:val="0070330B"/>
    <w:rsid w:val="00704395"/>
    <w:rsid w:val="00710FE7"/>
    <w:rsid w:val="00717621"/>
    <w:rsid w:val="00720FF1"/>
    <w:rsid w:val="00727A53"/>
    <w:rsid w:val="00787B42"/>
    <w:rsid w:val="007C4539"/>
    <w:rsid w:val="007F3657"/>
    <w:rsid w:val="008033CE"/>
    <w:rsid w:val="00812ED5"/>
    <w:rsid w:val="008277D9"/>
    <w:rsid w:val="0084478C"/>
    <w:rsid w:val="0086638C"/>
    <w:rsid w:val="008A3E8D"/>
    <w:rsid w:val="00900C02"/>
    <w:rsid w:val="009237C4"/>
    <w:rsid w:val="00944C48"/>
    <w:rsid w:val="00950252"/>
    <w:rsid w:val="00967F5D"/>
    <w:rsid w:val="00990B0D"/>
    <w:rsid w:val="009A0F95"/>
    <w:rsid w:val="009B3ADF"/>
    <w:rsid w:val="009C3B52"/>
    <w:rsid w:val="009E6372"/>
    <w:rsid w:val="009E6817"/>
    <w:rsid w:val="009E6E9A"/>
    <w:rsid w:val="00A01D2B"/>
    <w:rsid w:val="00A40F5C"/>
    <w:rsid w:val="00A42218"/>
    <w:rsid w:val="00A70249"/>
    <w:rsid w:val="00A7036D"/>
    <w:rsid w:val="00A70B02"/>
    <w:rsid w:val="00A71D9F"/>
    <w:rsid w:val="00A92E9F"/>
    <w:rsid w:val="00AA4E8B"/>
    <w:rsid w:val="00AA55D3"/>
    <w:rsid w:val="00AB126B"/>
    <w:rsid w:val="00AB18FF"/>
    <w:rsid w:val="00AC4B27"/>
    <w:rsid w:val="00AF0BC7"/>
    <w:rsid w:val="00B33BEA"/>
    <w:rsid w:val="00B57C9F"/>
    <w:rsid w:val="00B63572"/>
    <w:rsid w:val="00B845B3"/>
    <w:rsid w:val="00B85D8B"/>
    <w:rsid w:val="00BB4A40"/>
    <w:rsid w:val="00BD6C3E"/>
    <w:rsid w:val="00BE3674"/>
    <w:rsid w:val="00C10681"/>
    <w:rsid w:val="00C3049A"/>
    <w:rsid w:val="00C31B1E"/>
    <w:rsid w:val="00C77645"/>
    <w:rsid w:val="00CA5A49"/>
    <w:rsid w:val="00CE04C3"/>
    <w:rsid w:val="00CE76A0"/>
    <w:rsid w:val="00D068E6"/>
    <w:rsid w:val="00D148C6"/>
    <w:rsid w:val="00D17A8A"/>
    <w:rsid w:val="00D415BA"/>
    <w:rsid w:val="00D475CF"/>
    <w:rsid w:val="00D63780"/>
    <w:rsid w:val="00D644EE"/>
    <w:rsid w:val="00D95A16"/>
    <w:rsid w:val="00DD06FF"/>
    <w:rsid w:val="00DD5FE9"/>
    <w:rsid w:val="00DE2BB9"/>
    <w:rsid w:val="00E00C7A"/>
    <w:rsid w:val="00E37D6C"/>
    <w:rsid w:val="00E55B68"/>
    <w:rsid w:val="00E561AE"/>
    <w:rsid w:val="00E67BE6"/>
    <w:rsid w:val="00E8683C"/>
    <w:rsid w:val="00EA2B72"/>
    <w:rsid w:val="00ED5CDD"/>
    <w:rsid w:val="00F74360"/>
    <w:rsid w:val="00FA4B0B"/>
    <w:rsid w:val="00FB462F"/>
    <w:rsid w:val="00FE16FA"/>
    <w:rsid w:val="00FE328A"/>
    <w:rsid w:val="00FE6269"/>
    <w:rsid w:val="00FF5CD6"/>
    <w:rsid w:val="21D24117"/>
    <w:rsid w:val="5777D4F5"/>
    <w:rsid w:val="5FC6BB1E"/>
    <w:rsid w:val="5FF720F1"/>
    <w:rsid w:val="737D59BA"/>
    <w:rsid w:val="75D34022"/>
    <w:rsid w:val="77C37683"/>
    <w:rsid w:val="79A05E1A"/>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55F7CA-33F1-4FA9-8CE4-D89A78E5F25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2097</Words>
  <Characters>11955</Characters>
  <Lines>99</Lines>
  <Paragraphs>28</Paragraphs>
  <TotalTime>1321</TotalTime>
  <ScaleCrop>false</ScaleCrop>
  <LinksUpToDate>false</LinksUpToDate>
  <CharactersWithSpaces>14024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2023-10-16T12:32:00Z</dcterms:created>
  <dc:creator>李航 null</dc:creator>
  <cp:lastModifiedBy>Administrator</cp:lastModifiedBy>
  <cp:lastPrinted>2023-08-15T09:28:00Z</cp:lastPrinted>
  <dcterms:modified xsi:type="dcterms:W3CDTF">2023-10-26T10:04:37Z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7467D050909C453FB867F9E0DFF31E1A_13</vt:lpwstr>
  </property>
</Properties>
</file>