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803" w:firstLineChars="200"/>
        <w:jc w:val="center"/>
        <w:rPr>
          <w:rFonts w:hint="eastAsia" w:ascii="黑体" w:hAnsi="黑体" w:eastAsia="黑体" w:cs="黑体"/>
          <w:b/>
          <w:sz w:val="32"/>
          <w:szCs w:val="32"/>
        </w:rPr>
      </w:pPr>
      <w:r>
        <w:rPr>
          <w:rFonts w:hint="eastAsia" w:ascii="黑体" w:hAnsi="黑体" w:eastAsia="黑体" w:cs="黑体"/>
          <w:b/>
          <w:color w:val="000000"/>
          <w:kern w:val="0"/>
          <w:sz w:val="40"/>
          <w:szCs w:val="40"/>
          <w:lang w:val="en-US" w:eastAsia="zh-CN"/>
        </w:rPr>
        <w:t>洪江市商务局</w:t>
      </w:r>
      <w:r>
        <w:rPr>
          <w:rFonts w:hint="eastAsia" w:ascii="黑体" w:hAnsi="黑体" w:eastAsia="黑体" w:cs="黑体"/>
          <w:b/>
          <w:color w:val="000000"/>
          <w:kern w:val="0"/>
          <w:sz w:val="40"/>
          <w:szCs w:val="40"/>
        </w:rPr>
        <w:t>部门整体支出绩效评价报告</w:t>
      </w:r>
    </w:p>
    <w:p>
      <w:pPr>
        <w:pStyle w:val="5"/>
        <w:ind w:firstLine="643" w:firstLineChars="200"/>
        <w:rPr>
          <w:rFonts w:hint="eastAsia"/>
          <w:b/>
          <w:sz w:val="32"/>
          <w:szCs w:val="32"/>
        </w:rPr>
      </w:pPr>
      <w:bookmarkStart w:id="0" w:name="_GoBack"/>
      <w:bookmarkEnd w:id="0"/>
    </w:p>
    <w:p>
      <w:pPr>
        <w:pStyle w:val="5"/>
        <w:ind w:firstLine="643" w:firstLineChars="200"/>
        <w:rPr>
          <w:rFonts w:hint="eastAsia"/>
          <w:b/>
          <w:sz w:val="32"/>
          <w:szCs w:val="32"/>
        </w:rPr>
      </w:pPr>
      <w:r>
        <w:rPr>
          <w:rFonts w:hint="eastAsia"/>
          <w:b/>
          <w:sz w:val="32"/>
          <w:szCs w:val="32"/>
        </w:rPr>
        <w:t>一、部门（单位）概况</w:t>
      </w:r>
    </w:p>
    <w:p>
      <w:pPr>
        <w:pStyle w:val="5"/>
        <w:ind w:firstLine="480" w:firstLineChars="150"/>
        <w:rPr>
          <w:rFonts w:hint="eastAsia"/>
          <w:sz w:val="32"/>
          <w:szCs w:val="32"/>
        </w:rPr>
      </w:pPr>
      <w:r>
        <w:rPr>
          <w:rFonts w:hint="eastAsia"/>
          <w:sz w:val="32"/>
          <w:szCs w:val="32"/>
        </w:rPr>
        <w:t>（一）部门（单位）基本情况</w:t>
      </w:r>
    </w:p>
    <w:p>
      <w:pPr>
        <w:pStyle w:val="5"/>
        <w:ind w:firstLine="640" w:firstLineChars="200"/>
        <w:rPr>
          <w:rFonts w:hint="eastAsia" w:hAnsi="宋体" w:cs="仿宋_GB2312"/>
          <w:sz w:val="32"/>
          <w:szCs w:val="32"/>
          <w:lang w:bidi="ar"/>
        </w:rPr>
      </w:pPr>
      <w:r>
        <w:rPr>
          <w:rFonts w:hint="eastAsia" w:hAnsi="宋体" w:cs="仿宋_GB2312"/>
          <w:snapToGrid w:val="0"/>
          <w:sz w:val="32"/>
          <w:szCs w:val="32"/>
        </w:rPr>
        <w:t>根据《中共洪江市委洪江市人民政府关于洪江市人民政府职能转变和机构改革的实施意见》（洪发［2015］5号）和《中共洪江市委洪江市人民政府关于洪江市人民政府机构设置的通知》（洪委［2015］6号）文件精神，设立洪江市商务局（加挂洪江市经济技术协作办公室牌子），为市人民政府工作部门，机构代码006728991，办公地址为湖南省洪江市黔城镇雪峰大道。</w:t>
      </w:r>
      <w:r>
        <w:rPr>
          <w:rFonts w:hint="eastAsia" w:hAnsi="宋体" w:cs="仿宋_GB2312"/>
          <w:sz w:val="32"/>
          <w:szCs w:val="32"/>
        </w:rPr>
        <w:t>内设</w:t>
      </w:r>
      <w:r>
        <w:rPr>
          <w:rFonts w:hint="eastAsia" w:hAnsi="宋体" w:cs="仿宋_GB2312"/>
          <w:sz w:val="32"/>
          <w:szCs w:val="32"/>
          <w:lang w:val="en-US" w:eastAsia="zh-CN"/>
        </w:rPr>
        <w:t>6</w:t>
      </w:r>
      <w:r>
        <w:rPr>
          <w:rFonts w:hint="eastAsia" w:hAnsi="宋体" w:cs="仿宋_GB2312"/>
          <w:sz w:val="32"/>
          <w:szCs w:val="32"/>
        </w:rPr>
        <w:t>个股室和1个执法大队，分别为办公室、财务股、人事教育股、</w:t>
      </w:r>
      <w:r>
        <w:rPr>
          <w:rFonts w:hint="eastAsia" w:hAnsi="宋体" w:cs="仿宋_GB2312"/>
          <w:sz w:val="32"/>
          <w:szCs w:val="32"/>
          <w:lang w:eastAsia="zh-CN"/>
        </w:rPr>
        <w:t>投资事务中心</w:t>
      </w:r>
      <w:r>
        <w:rPr>
          <w:rFonts w:hint="eastAsia" w:hAnsi="宋体" w:cs="仿宋_GB2312"/>
          <w:sz w:val="32"/>
          <w:szCs w:val="32"/>
        </w:rPr>
        <w:t>（加挂对外经贸股职能）、市场管理股、电子商务股、商务综合行政执法大队。20</w:t>
      </w:r>
      <w:r>
        <w:rPr>
          <w:rFonts w:hint="eastAsia" w:hAnsi="宋体" w:cs="仿宋_GB2312"/>
          <w:sz w:val="32"/>
          <w:szCs w:val="32"/>
          <w:lang w:val="en-US" w:eastAsia="zh-CN"/>
        </w:rPr>
        <w:t>21</w:t>
      </w:r>
      <w:r>
        <w:rPr>
          <w:rFonts w:hint="eastAsia" w:hAnsi="宋体" w:cs="仿宋_GB2312"/>
          <w:sz w:val="32"/>
          <w:szCs w:val="32"/>
        </w:rPr>
        <w:t>年末，市商务局编制数共</w:t>
      </w:r>
      <w:r>
        <w:rPr>
          <w:rFonts w:hint="eastAsia" w:hAnsi="宋体" w:cs="仿宋_GB2312"/>
          <w:sz w:val="32"/>
          <w:szCs w:val="32"/>
          <w:lang w:val="en-US" w:eastAsia="zh-CN"/>
        </w:rPr>
        <w:t>11</w:t>
      </w:r>
      <w:r>
        <w:rPr>
          <w:rFonts w:hint="eastAsia" w:hAnsi="宋体" w:cs="仿宋_GB2312"/>
          <w:sz w:val="32"/>
          <w:szCs w:val="32"/>
        </w:rPr>
        <w:t>名，其中：行政编制3名、事业编制</w:t>
      </w:r>
      <w:r>
        <w:rPr>
          <w:rFonts w:hint="eastAsia" w:hAnsi="宋体" w:cs="仿宋_GB2312"/>
          <w:sz w:val="32"/>
          <w:szCs w:val="32"/>
          <w:lang w:val="en-US" w:eastAsia="zh-CN"/>
        </w:rPr>
        <w:t>8</w:t>
      </w:r>
      <w:r>
        <w:rPr>
          <w:rFonts w:hint="eastAsia" w:hAnsi="宋体" w:cs="仿宋_GB2312"/>
          <w:sz w:val="32"/>
          <w:szCs w:val="32"/>
        </w:rPr>
        <w:t>名，实有人数</w:t>
      </w:r>
      <w:r>
        <w:rPr>
          <w:rFonts w:hint="eastAsia" w:hAnsi="宋体" w:cs="仿宋_GB2312"/>
          <w:sz w:val="32"/>
          <w:szCs w:val="32"/>
          <w:lang w:val="en-US" w:eastAsia="zh-CN"/>
        </w:rPr>
        <w:t>28</w:t>
      </w:r>
      <w:r>
        <w:rPr>
          <w:rFonts w:hint="eastAsia" w:hAnsi="宋体" w:cs="仿宋_GB2312"/>
          <w:sz w:val="32"/>
          <w:szCs w:val="32"/>
        </w:rPr>
        <w:t>人</w:t>
      </w:r>
      <w:r>
        <w:rPr>
          <w:rFonts w:hint="eastAsia" w:hAnsi="宋体" w:cs="仿宋_GB2312"/>
          <w:sz w:val="32"/>
          <w:szCs w:val="32"/>
          <w:lang w:bidi="ar"/>
        </w:rPr>
        <w:t>。</w:t>
      </w:r>
    </w:p>
    <w:p>
      <w:pPr>
        <w:pStyle w:val="5"/>
        <w:ind w:firstLine="480" w:firstLineChars="150"/>
        <w:rPr>
          <w:rFonts w:hint="eastAsia"/>
          <w:sz w:val="32"/>
          <w:szCs w:val="32"/>
        </w:rPr>
      </w:pPr>
      <w:r>
        <w:rPr>
          <w:rFonts w:hint="eastAsia"/>
          <w:sz w:val="32"/>
          <w:szCs w:val="32"/>
        </w:rPr>
        <w:t>（二）部门（单位）整体支出规模、使用方向和主要内容、涉及范围等</w:t>
      </w:r>
    </w:p>
    <w:p>
      <w:pPr>
        <w:pStyle w:val="5"/>
        <w:ind w:firstLine="640" w:firstLineChars="200"/>
        <w:rPr>
          <w:rFonts w:hint="eastAsia" w:ascii="宋体" w:hAnsi="宋体" w:cs="仿宋_GB2312"/>
          <w:sz w:val="32"/>
          <w:szCs w:val="32"/>
          <w:highlight w:val="red"/>
          <w:lang w:bidi="ar"/>
        </w:rPr>
      </w:pPr>
      <w:r>
        <w:rPr>
          <w:rFonts w:hint="eastAsia" w:ascii="宋体" w:hAnsi="宋体" w:cs="仿宋_GB2312"/>
          <w:sz w:val="32"/>
          <w:szCs w:val="32"/>
          <w:highlight w:val="none"/>
        </w:rPr>
        <w:t>根据洪江市财政局20</w:t>
      </w:r>
      <w:r>
        <w:rPr>
          <w:rFonts w:hint="eastAsia" w:ascii="宋体" w:hAnsi="宋体" w:cs="仿宋_GB2312"/>
          <w:sz w:val="32"/>
          <w:szCs w:val="32"/>
          <w:highlight w:val="none"/>
          <w:lang w:val="en-US" w:eastAsia="zh-CN"/>
        </w:rPr>
        <w:t>21</w:t>
      </w:r>
      <w:r>
        <w:rPr>
          <w:rFonts w:hint="eastAsia" w:ascii="宋体" w:hAnsi="宋体" w:cs="仿宋_GB2312"/>
          <w:sz w:val="32"/>
          <w:szCs w:val="32"/>
          <w:highlight w:val="none"/>
        </w:rPr>
        <w:t>年本级部门预算的批复，市商务局20</w:t>
      </w:r>
      <w:r>
        <w:rPr>
          <w:rFonts w:hint="eastAsia" w:ascii="宋体" w:hAnsi="宋体" w:cs="仿宋_GB2312"/>
          <w:sz w:val="32"/>
          <w:szCs w:val="32"/>
          <w:highlight w:val="none"/>
          <w:lang w:val="en-US" w:eastAsia="zh-CN"/>
        </w:rPr>
        <w:t>21</w:t>
      </w:r>
      <w:r>
        <w:rPr>
          <w:rFonts w:hint="eastAsia" w:ascii="宋体" w:hAnsi="宋体" w:cs="仿宋_GB2312"/>
          <w:sz w:val="32"/>
          <w:szCs w:val="32"/>
          <w:highlight w:val="none"/>
        </w:rPr>
        <w:t>年初预算</w:t>
      </w:r>
      <w:r>
        <w:rPr>
          <w:rFonts w:hint="eastAsia" w:ascii="宋体" w:hAnsi="宋体" w:cs="仿宋_GB2312"/>
          <w:sz w:val="32"/>
          <w:szCs w:val="32"/>
          <w:highlight w:val="none"/>
          <w:lang w:val="en-US" w:eastAsia="zh-CN"/>
        </w:rPr>
        <w:t>570.63</w:t>
      </w:r>
      <w:r>
        <w:rPr>
          <w:rFonts w:hint="eastAsia" w:ascii="宋体" w:hAnsi="宋体" w:cs="仿宋_GB2312"/>
          <w:sz w:val="32"/>
          <w:szCs w:val="32"/>
          <w:highlight w:val="none"/>
        </w:rPr>
        <w:t>万元，调整预算数为</w:t>
      </w:r>
      <w:r>
        <w:rPr>
          <w:rFonts w:hint="eastAsia" w:ascii="宋体" w:hAnsi="宋体" w:cs="仿宋_GB2312"/>
          <w:sz w:val="32"/>
          <w:szCs w:val="32"/>
          <w:highlight w:val="none"/>
          <w:lang w:val="en-US" w:eastAsia="zh-CN"/>
        </w:rPr>
        <w:t>1802.35</w:t>
      </w:r>
      <w:r>
        <w:rPr>
          <w:rFonts w:hint="eastAsia" w:ascii="宋体" w:hAnsi="宋体" w:cs="仿宋_GB2312"/>
          <w:sz w:val="32"/>
          <w:szCs w:val="32"/>
          <w:highlight w:val="none"/>
        </w:rPr>
        <w:t>万元</w:t>
      </w:r>
      <w:r>
        <w:rPr>
          <w:rFonts w:hint="eastAsia" w:ascii="宋体" w:hAnsi="宋体" w:cs="仿宋_GB2312"/>
          <w:sz w:val="32"/>
          <w:szCs w:val="32"/>
          <w:highlight w:val="none"/>
          <w:lang w:eastAsia="zh-CN"/>
        </w:rPr>
        <w:t>。</w:t>
      </w:r>
      <w:r>
        <w:rPr>
          <w:rFonts w:hint="eastAsia" w:ascii="宋体" w:hAnsi="宋体" w:cs="仿宋_GB2312"/>
          <w:sz w:val="32"/>
          <w:szCs w:val="32"/>
          <w:highlight w:val="none"/>
        </w:rPr>
        <w:t>20</w:t>
      </w:r>
      <w:r>
        <w:rPr>
          <w:rFonts w:hint="eastAsia" w:ascii="宋体" w:hAnsi="宋体" w:cs="仿宋_GB2312"/>
          <w:sz w:val="32"/>
          <w:szCs w:val="32"/>
          <w:highlight w:val="none"/>
          <w:lang w:val="en-US" w:eastAsia="zh-CN"/>
        </w:rPr>
        <w:t>21</w:t>
      </w:r>
      <w:r>
        <w:rPr>
          <w:rFonts w:hint="eastAsia" w:ascii="宋体" w:hAnsi="宋体" w:cs="仿宋_GB2312"/>
          <w:sz w:val="32"/>
          <w:szCs w:val="32"/>
          <w:highlight w:val="none"/>
        </w:rPr>
        <w:t>年实际拨款</w:t>
      </w:r>
      <w:r>
        <w:rPr>
          <w:rFonts w:hint="eastAsia" w:ascii="宋体" w:hAnsi="宋体" w:cs="仿宋_GB2312"/>
          <w:sz w:val="32"/>
          <w:szCs w:val="32"/>
          <w:highlight w:val="none"/>
          <w:lang w:val="en-US" w:eastAsia="zh-CN" w:bidi="ar"/>
        </w:rPr>
        <w:t>1802.35</w:t>
      </w:r>
      <w:r>
        <w:rPr>
          <w:rFonts w:hint="eastAsia" w:ascii="宋体" w:hAnsi="宋体" w:cs="仿宋_GB2312"/>
          <w:sz w:val="32"/>
          <w:szCs w:val="32"/>
          <w:highlight w:val="none"/>
        </w:rPr>
        <w:t>万元，本年实际支出</w:t>
      </w:r>
      <w:r>
        <w:rPr>
          <w:rFonts w:hint="eastAsia" w:ascii="宋体" w:hAnsi="宋体" w:cs="仿宋_GB2312"/>
          <w:sz w:val="32"/>
          <w:szCs w:val="32"/>
          <w:highlight w:val="none"/>
          <w:lang w:val="en-US" w:eastAsia="zh-CN" w:bidi="ar"/>
        </w:rPr>
        <w:t>1802.35</w:t>
      </w:r>
      <w:r>
        <w:rPr>
          <w:rFonts w:hint="eastAsia" w:ascii="宋体" w:hAnsi="宋体" w:cs="仿宋_GB2312"/>
          <w:sz w:val="32"/>
          <w:szCs w:val="32"/>
          <w:highlight w:val="none"/>
        </w:rPr>
        <w:t>万元</w:t>
      </w:r>
      <w:r>
        <w:rPr>
          <w:rFonts w:hint="eastAsia" w:ascii="宋体" w:hAnsi="宋体" w:cs="仿宋_GB2312"/>
          <w:sz w:val="32"/>
          <w:szCs w:val="32"/>
          <w:highlight w:val="none"/>
          <w:lang w:val="en-US" w:eastAsia="zh-CN"/>
        </w:rPr>
        <w:t>。</w:t>
      </w:r>
      <w:r>
        <w:rPr>
          <w:rFonts w:hint="eastAsia" w:ascii="宋体" w:hAnsi="宋体" w:cs="仿宋_GB2312"/>
          <w:sz w:val="32"/>
          <w:szCs w:val="32"/>
          <w:highlight w:val="none"/>
        </w:rPr>
        <w:t>其中：</w:t>
      </w:r>
      <w:r>
        <w:rPr>
          <w:rFonts w:hint="eastAsia" w:ascii="宋体" w:hAnsi="宋体" w:cs="仿宋_GB2312"/>
          <w:sz w:val="32"/>
          <w:szCs w:val="32"/>
          <w:highlight w:val="none"/>
          <w:lang w:bidi="ar"/>
        </w:rPr>
        <w:t>一、工资福利支出：</w:t>
      </w:r>
      <w:r>
        <w:rPr>
          <w:rFonts w:hint="eastAsia" w:ascii="宋体" w:hAnsi="宋体" w:cs="仿宋_GB2312"/>
          <w:sz w:val="32"/>
          <w:szCs w:val="32"/>
          <w:highlight w:val="none"/>
          <w:lang w:val="en-US" w:eastAsia="zh-CN" w:bidi="ar"/>
        </w:rPr>
        <w:t>391.35</w:t>
      </w:r>
      <w:r>
        <w:rPr>
          <w:rFonts w:hint="eastAsia" w:ascii="宋体" w:hAnsi="宋体" w:cs="仿宋_GB2312"/>
          <w:sz w:val="32"/>
          <w:szCs w:val="32"/>
          <w:highlight w:val="none"/>
          <w:lang w:bidi="ar"/>
        </w:rPr>
        <w:t>万元；二、商品和服务支出：</w:t>
      </w:r>
      <w:r>
        <w:rPr>
          <w:rFonts w:hint="eastAsia" w:ascii="宋体" w:hAnsi="宋体" w:cs="仿宋_GB2312"/>
          <w:sz w:val="32"/>
          <w:szCs w:val="32"/>
          <w:highlight w:val="none"/>
          <w:lang w:val="en-US" w:eastAsia="zh-CN" w:bidi="ar"/>
        </w:rPr>
        <w:t>195.6</w:t>
      </w:r>
      <w:r>
        <w:rPr>
          <w:rFonts w:hint="eastAsia" w:ascii="宋体" w:hAnsi="宋体" w:cs="仿宋_GB2312"/>
          <w:sz w:val="32"/>
          <w:szCs w:val="32"/>
          <w:highlight w:val="none"/>
          <w:lang w:bidi="ar"/>
        </w:rPr>
        <w:t>万元。本年收入</w:t>
      </w:r>
      <w:r>
        <w:rPr>
          <w:rFonts w:hint="eastAsia" w:ascii="宋体" w:hAnsi="宋体" w:cs="仿宋_GB2312"/>
          <w:sz w:val="32"/>
          <w:szCs w:val="32"/>
          <w:highlight w:val="none"/>
          <w:lang w:val="en-US" w:eastAsia="zh-CN" w:bidi="ar"/>
        </w:rPr>
        <w:t>1802.35</w:t>
      </w:r>
      <w:r>
        <w:rPr>
          <w:rFonts w:hint="eastAsia" w:ascii="宋体" w:hAnsi="宋体" w:cs="仿宋_GB2312"/>
          <w:sz w:val="32"/>
          <w:szCs w:val="32"/>
          <w:highlight w:val="none"/>
          <w:lang w:bidi="ar"/>
        </w:rPr>
        <w:t>万元，项目支出</w:t>
      </w:r>
      <w:r>
        <w:rPr>
          <w:rFonts w:hint="eastAsia" w:ascii="宋体" w:hAnsi="宋体" w:cs="仿宋_GB2312"/>
          <w:sz w:val="32"/>
          <w:szCs w:val="32"/>
          <w:highlight w:val="none"/>
          <w:lang w:val="en-US" w:eastAsia="zh-CN" w:bidi="ar"/>
        </w:rPr>
        <w:t>50</w:t>
      </w:r>
      <w:r>
        <w:rPr>
          <w:rFonts w:hint="eastAsia" w:ascii="宋体" w:hAnsi="宋体" w:cs="仿宋_GB2312"/>
          <w:sz w:val="32"/>
          <w:szCs w:val="32"/>
          <w:highlight w:val="none"/>
          <w:lang w:bidi="ar"/>
        </w:rPr>
        <w:t>万元。</w:t>
      </w:r>
    </w:p>
    <w:p>
      <w:pPr>
        <w:pStyle w:val="5"/>
        <w:ind w:firstLine="643" w:firstLineChars="200"/>
        <w:rPr>
          <w:rFonts w:hint="eastAsia"/>
          <w:b/>
          <w:sz w:val="32"/>
          <w:szCs w:val="32"/>
        </w:rPr>
      </w:pPr>
      <w:r>
        <w:rPr>
          <w:rFonts w:hint="eastAsia"/>
          <w:b/>
          <w:sz w:val="32"/>
          <w:szCs w:val="32"/>
        </w:rPr>
        <w:t>二、部门（单位）整体支出管理及使用情况</w:t>
      </w:r>
    </w:p>
    <w:p>
      <w:pPr>
        <w:pStyle w:val="5"/>
        <w:ind w:firstLine="480" w:firstLineChars="150"/>
        <w:rPr>
          <w:rFonts w:hint="eastAsia"/>
          <w:sz w:val="32"/>
          <w:szCs w:val="32"/>
          <w:highlight w:val="none"/>
        </w:rPr>
      </w:pPr>
      <w:r>
        <w:rPr>
          <w:rFonts w:hint="eastAsia"/>
          <w:sz w:val="32"/>
          <w:szCs w:val="32"/>
          <w:highlight w:val="none"/>
        </w:rPr>
        <w:t>（一）基本支出</w:t>
      </w:r>
    </w:p>
    <w:p>
      <w:pPr>
        <w:pStyle w:val="5"/>
        <w:ind w:firstLine="640" w:firstLineChars="200"/>
        <w:rPr>
          <w:rFonts w:hint="eastAsia" w:hAnsi="宋体"/>
          <w:sz w:val="32"/>
          <w:szCs w:val="32"/>
          <w:highlight w:val="none"/>
        </w:rPr>
      </w:pPr>
      <w:r>
        <w:rPr>
          <w:rFonts w:hint="eastAsia" w:hAnsi="宋体"/>
          <w:sz w:val="32"/>
          <w:szCs w:val="32"/>
          <w:highlight w:val="none"/>
        </w:rPr>
        <w:t>基本支出年初预算数</w:t>
      </w:r>
      <w:r>
        <w:rPr>
          <w:rFonts w:hint="eastAsia" w:hAnsi="宋体"/>
          <w:sz w:val="32"/>
          <w:szCs w:val="32"/>
          <w:highlight w:val="none"/>
          <w:lang w:val="en-US" w:eastAsia="zh-CN"/>
        </w:rPr>
        <w:t>499.75</w:t>
      </w:r>
      <w:r>
        <w:rPr>
          <w:rFonts w:hint="eastAsia" w:hAnsi="宋体"/>
          <w:sz w:val="32"/>
          <w:szCs w:val="32"/>
          <w:highlight w:val="none"/>
        </w:rPr>
        <w:t>万元，决算数</w:t>
      </w:r>
      <w:r>
        <w:rPr>
          <w:rFonts w:hint="eastAsia" w:hAnsi="宋体"/>
          <w:sz w:val="32"/>
          <w:szCs w:val="32"/>
          <w:highlight w:val="none"/>
          <w:lang w:val="en-US" w:eastAsia="zh-CN"/>
        </w:rPr>
        <w:t>1725.08</w:t>
      </w:r>
      <w:r>
        <w:rPr>
          <w:rFonts w:hint="eastAsia" w:hAnsi="宋体"/>
          <w:sz w:val="32"/>
          <w:szCs w:val="32"/>
          <w:highlight w:val="none"/>
        </w:rPr>
        <w:t>万元，其中人员经费年初预算数</w:t>
      </w:r>
      <w:r>
        <w:rPr>
          <w:rFonts w:hint="eastAsia" w:hAnsi="宋体"/>
          <w:sz w:val="32"/>
          <w:szCs w:val="32"/>
          <w:highlight w:val="none"/>
          <w:lang w:val="en-US" w:eastAsia="zh-CN"/>
        </w:rPr>
        <w:t>260.83</w:t>
      </w:r>
      <w:r>
        <w:rPr>
          <w:rFonts w:hint="eastAsia" w:hAnsi="宋体"/>
          <w:sz w:val="32"/>
          <w:szCs w:val="32"/>
          <w:highlight w:val="none"/>
        </w:rPr>
        <w:t>万元，决算数</w:t>
      </w:r>
      <w:r>
        <w:rPr>
          <w:rFonts w:hint="eastAsia" w:hAnsi="宋体"/>
          <w:sz w:val="32"/>
          <w:szCs w:val="32"/>
          <w:highlight w:val="none"/>
          <w:lang w:val="en-US" w:eastAsia="zh-CN"/>
        </w:rPr>
        <w:t>391.35</w:t>
      </w:r>
      <w:r>
        <w:rPr>
          <w:rFonts w:hint="eastAsia" w:hAnsi="宋体"/>
          <w:sz w:val="32"/>
          <w:szCs w:val="32"/>
          <w:highlight w:val="none"/>
        </w:rPr>
        <w:t>万元；公用经费年初预算数</w:t>
      </w:r>
      <w:r>
        <w:rPr>
          <w:rFonts w:hint="eastAsia" w:hAnsi="宋体"/>
          <w:sz w:val="32"/>
          <w:szCs w:val="32"/>
          <w:highlight w:val="none"/>
          <w:lang w:val="en-US" w:eastAsia="zh-CN"/>
        </w:rPr>
        <w:t>28.8</w:t>
      </w:r>
      <w:r>
        <w:rPr>
          <w:rFonts w:hint="eastAsia" w:hAnsi="宋体"/>
          <w:sz w:val="32"/>
          <w:szCs w:val="32"/>
          <w:highlight w:val="none"/>
        </w:rPr>
        <w:t>万元，决算数</w:t>
      </w:r>
      <w:r>
        <w:rPr>
          <w:rFonts w:hint="eastAsia" w:hAnsi="宋体"/>
          <w:sz w:val="32"/>
          <w:szCs w:val="32"/>
          <w:highlight w:val="none"/>
          <w:lang w:val="en-US" w:eastAsia="zh-CN"/>
        </w:rPr>
        <w:t>195.6</w:t>
      </w:r>
      <w:r>
        <w:rPr>
          <w:rFonts w:hint="eastAsia" w:hAnsi="宋体"/>
          <w:sz w:val="32"/>
          <w:szCs w:val="32"/>
          <w:highlight w:val="none"/>
        </w:rPr>
        <w:t>万元。基本支出主要用于机关日常运行、人员工资福利支出。</w:t>
      </w:r>
      <w:r>
        <w:rPr>
          <w:rFonts w:hint="eastAsia" w:hAnsi="宋体" w:cs="仿宋_GB2312"/>
          <w:sz w:val="32"/>
          <w:szCs w:val="32"/>
          <w:highlight w:val="none"/>
        </w:rPr>
        <w:t xml:space="preserve"> “三公经费”实际支出数为</w:t>
      </w:r>
      <w:r>
        <w:rPr>
          <w:rFonts w:hint="eastAsia" w:hAnsi="宋体" w:cs="仿宋_GB2312"/>
          <w:sz w:val="32"/>
          <w:szCs w:val="32"/>
          <w:highlight w:val="none"/>
          <w:lang w:val="en-US" w:eastAsia="zh-CN"/>
        </w:rPr>
        <w:t>11.375</w:t>
      </w:r>
      <w:r>
        <w:rPr>
          <w:rFonts w:hint="eastAsia" w:hAnsi="宋体" w:cs="仿宋_GB2312"/>
          <w:sz w:val="32"/>
          <w:szCs w:val="32"/>
          <w:highlight w:val="none"/>
        </w:rPr>
        <w:t>万元。</w:t>
      </w:r>
    </w:p>
    <w:p>
      <w:pPr>
        <w:pStyle w:val="5"/>
        <w:ind w:firstLine="480" w:firstLineChars="150"/>
        <w:rPr>
          <w:rFonts w:hint="eastAsia"/>
          <w:sz w:val="32"/>
          <w:szCs w:val="32"/>
          <w:highlight w:val="none"/>
        </w:rPr>
      </w:pPr>
      <w:r>
        <w:rPr>
          <w:rFonts w:hint="eastAsia"/>
          <w:sz w:val="32"/>
          <w:szCs w:val="32"/>
          <w:highlight w:val="none"/>
        </w:rPr>
        <w:t>（二）专项支出</w:t>
      </w:r>
    </w:p>
    <w:p>
      <w:pPr>
        <w:pStyle w:val="5"/>
        <w:ind w:firstLine="640" w:firstLineChars="200"/>
        <w:rPr>
          <w:rFonts w:hint="eastAsia" w:hAnsi="宋体"/>
          <w:sz w:val="32"/>
          <w:szCs w:val="32"/>
          <w:highlight w:val="none"/>
          <w:lang w:eastAsia="zh-CN"/>
        </w:rPr>
      </w:pPr>
      <w:r>
        <w:rPr>
          <w:rFonts w:hint="eastAsia" w:hAnsi="宋体"/>
          <w:sz w:val="32"/>
          <w:szCs w:val="32"/>
          <w:highlight w:val="none"/>
        </w:rPr>
        <w:t>项目支出年初预算数</w:t>
      </w:r>
      <w:r>
        <w:rPr>
          <w:rFonts w:hint="eastAsia" w:hAnsi="宋体"/>
          <w:sz w:val="32"/>
          <w:szCs w:val="32"/>
          <w:highlight w:val="none"/>
          <w:lang w:val="en-US" w:eastAsia="zh-CN"/>
        </w:rPr>
        <w:t>50</w:t>
      </w:r>
      <w:r>
        <w:rPr>
          <w:rFonts w:hint="eastAsia" w:hAnsi="宋体"/>
          <w:sz w:val="32"/>
          <w:szCs w:val="32"/>
          <w:highlight w:val="none"/>
        </w:rPr>
        <w:t>万元，决算数</w:t>
      </w:r>
      <w:r>
        <w:rPr>
          <w:rFonts w:hint="eastAsia" w:hAnsi="宋体"/>
          <w:sz w:val="32"/>
          <w:szCs w:val="32"/>
          <w:highlight w:val="none"/>
          <w:lang w:val="en-US" w:eastAsia="zh-CN"/>
        </w:rPr>
        <w:t>50</w:t>
      </w:r>
      <w:r>
        <w:rPr>
          <w:rFonts w:hint="eastAsia" w:hAnsi="宋体"/>
          <w:sz w:val="32"/>
          <w:szCs w:val="32"/>
          <w:highlight w:val="none"/>
        </w:rPr>
        <w:t>万元，综合分析是因为项目增加，项目支出相应增加。</w:t>
      </w:r>
    </w:p>
    <w:p>
      <w:pPr>
        <w:pStyle w:val="5"/>
        <w:ind w:firstLine="480" w:firstLineChars="150"/>
        <w:rPr>
          <w:rFonts w:hint="eastAsia"/>
          <w:sz w:val="32"/>
          <w:szCs w:val="32"/>
          <w:highlight w:val="none"/>
        </w:rPr>
      </w:pPr>
      <w:r>
        <w:rPr>
          <w:rFonts w:hint="eastAsia"/>
          <w:sz w:val="32"/>
          <w:szCs w:val="32"/>
          <w:highlight w:val="none"/>
        </w:rPr>
        <w:t>三、部门（单位）专项组织实施情况</w:t>
      </w:r>
    </w:p>
    <w:p>
      <w:pPr>
        <w:pStyle w:val="5"/>
        <w:ind w:firstLine="480" w:firstLineChars="150"/>
        <w:rPr>
          <w:rFonts w:hint="eastAsia" w:ascii="宋体" w:hAnsi="宋体" w:cs="仿宋_GB2312"/>
          <w:sz w:val="32"/>
          <w:szCs w:val="32"/>
          <w:highlight w:val="none"/>
        </w:rPr>
      </w:pPr>
      <w:r>
        <w:rPr>
          <w:rFonts w:hint="eastAsia" w:ascii="宋体" w:hAnsi="宋体" w:cs="仿宋_GB2312"/>
          <w:sz w:val="32"/>
          <w:szCs w:val="32"/>
          <w:highlight w:val="none"/>
        </w:rPr>
        <w:t>本部门支出符合国家财经法规和财务管理制度规定以及有关专项资金管理办法的规定，资金的拨付有完整的审批过程和手续，项目的支出按规定经过评估论证，支出符合部门预算批复的用途，资金使用无截留、挤占、挪用、虚列支出等情况。</w:t>
      </w:r>
    </w:p>
    <w:p>
      <w:pPr>
        <w:pStyle w:val="5"/>
        <w:ind w:firstLine="640" w:firstLineChars="200"/>
        <w:rPr>
          <w:rFonts w:hint="eastAsia"/>
          <w:sz w:val="32"/>
          <w:szCs w:val="32"/>
          <w:highlight w:val="none"/>
        </w:rPr>
      </w:pPr>
      <w:r>
        <w:rPr>
          <w:rFonts w:hint="eastAsia"/>
          <w:sz w:val="32"/>
          <w:szCs w:val="32"/>
          <w:highlight w:val="none"/>
        </w:rPr>
        <w:t>四、部门（单位）整体支出绩效情况</w:t>
      </w:r>
    </w:p>
    <w:p>
      <w:pPr>
        <w:ind w:firstLine="640" w:firstLineChars="200"/>
        <w:jc w:val="both"/>
        <w:rPr>
          <w:rStyle w:val="6"/>
          <w:rFonts w:hint="eastAsia" w:ascii="宋体" w:hAnsi="宋体" w:eastAsia="宋体" w:cs="宋体"/>
          <w:color w:val="auto"/>
          <w:sz w:val="32"/>
          <w:szCs w:val="32"/>
          <w:lang w:eastAsia="zh-CN"/>
        </w:rPr>
      </w:pPr>
      <w:r>
        <w:rPr>
          <w:rStyle w:val="6"/>
          <w:rFonts w:hint="eastAsia" w:ascii="宋体" w:hAnsi="宋体" w:eastAsia="宋体" w:cs="宋体"/>
          <w:color w:val="auto"/>
          <w:sz w:val="32"/>
          <w:szCs w:val="32"/>
          <w:lang w:val="en-US" w:eastAsia="zh-CN"/>
        </w:rPr>
        <w:t>1、</w:t>
      </w:r>
      <w:r>
        <w:rPr>
          <w:rStyle w:val="6"/>
          <w:rFonts w:hint="eastAsia" w:ascii="宋体" w:hAnsi="宋体" w:eastAsia="宋体" w:cs="宋体"/>
          <w:color w:val="auto"/>
          <w:sz w:val="32"/>
          <w:szCs w:val="32"/>
          <w:lang w:eastAsia="zh-CN"/>
        </w:rPr>
        <w:t>省外境内到位资金</w:t>
      </w:r>
      <w:r>
        <w:rPr>
          <w:rStyle w:val="6"/>
          <w:rFonts w:hint="eastAsia" w:ascii="宋体" w:hAnsi="宋体" w:eastAsia="宋体" w:cs="宋体"/>
          <w:color w:val="auto"/>
          <w:sz w:val="32"/>
          <w:szCs w:val="32"/>
          <w:lang w:val="en-US" w:eastAsia="zh-CN"/>
        </w:rPr>
        <w:t>49.69</w:t>
      </w:r>
      <w:r>
        <w:rPr>
          <w:rStyle w:val="6"/>
          <w:rFonts w:hint="eastAsia" w:ascii="宋体" w:hAnsi="宋体" w:eastAsia="宋体" w:cs="宋体"/>
          <w:color w:val="auto"/>
          <w:sz w:val="32"/>
          <w:szCs w:val="32"/>
          <w:lang w:eastAsia="zh-CN"/>
        </w:rPr>
        <w:t>亿元，完成率134.29%；</w:t>
      </w:r>
    </w:p>
    <w:p>
      <w:pPr>
        <w:ind w:firstLine="640" w:firstLineChars="200"/>
        <w:jc w:val="both"/>
        <w:rPr>
          <w:rStyle w:val="6"/>
          <w:rFonts w:hint="eastAsia" w:ascii="宋体" w:hAnsi="宋体" w:eastAsia="宋体" w:cs="宋体"/>
          <w:color w:val="auto"/>
          <w:sz w:val="32"/>
          <w:szCs w:val="32"/>
          <w:lang w:eastAsia="zh-CN"/>
        </w:rPr>
      </w:pPr>
      <w:r>
        <w:rPr>
          <w:rStyle w:val="6"/>
          <w:rFonts w:hint="eastAsia" w:ascii="宋体" w:hAnsi="宋体" w:eastAsia="宋体" w:cs="宋体"/>
          <w:color w:val="auto"/>
          <w:sz w:val="32"/>
          <w:szCs w:val="32"/>
          <w:lang w:val="en-US" w:eastAsia="zh-CN"/>
        </w:rPr>
        <w:t>2、实际利用外资401万美元，</w:t>
      </w:r>
      <w:r>
        <w:rPr>
          <w:rStyle w:val="6"/>
          <w:rFonts w:hint="eastAsia" w:ascii="宋体" w:hAnsi="宋体" w:eastAsia="宋体" w:cs="宋体"/>
          <w:color w:val="auto"/>
          <w:sz w:val="32"/>
          <w:szCs w:val="32"/>
          <w:lang w:eastAsia="zh-CN"/>
        </w:rPr>
        <w:t>完成率13</w:t>
      </w:r>
      <w:r>
        <w:rPr>
          <w:rStyle w:val="6"/>
          <w:rFonts w:hint="eastAsia" w:ascii="宋体" w:hAnsi="宋体" w:eastAsia="宋体" w:cs="宋体"/>
          <w:color w:val="auto"/>
          <w:sz w:val="32"/>
          <w:szCs w:val="32"/>
          <w:lang w:val="en-US" w:eastAsia="zh-CN"/>
        </w:rPr>
        <w:t>3.67</w:t>
      </w:r>
      <w:r>
        <w:rPr>
          <w:rStyle w:val="6"/>
          <w:rFonts w:hint="eastAsia" w:ascii="宋体" w:hAnsi="宋体" w:eastAsia="宋体" w:cs="宋体"/>
          <w:color w:val="auto"/>
          <w:sz w:val="32"/>
          <w:szCs w:val="32"/>
          <w:lang w:eastAsia="zh-CN"/>
        </w:rPr>
        <w:t>%；</w:t>
      </w:r>
    </w:p>
    <w:p>
      <w:pPr>
        <w:ind w:firstLine="640" w:firstLineChars="200"/>
        <w:jc w:val="both"/>
        <w:rPr>
          <w:rStyle w:val="6"/>
          <w:rFonts w:hint="eastAsia" w:ascii="宋体" w:hAnsi="宋体" w:eastAsia="宋体" w:cs="宋体"/>
          <w:color w:val="auto"/>
          <w:sz w:val="32"/>
          <w:szCs w:val="32"/>
          <w:lang w:eastAsia="zh-CN"/>
        </w:rPr>
      </w:pPr>
      <w:r>
        <w:rPr>
          <w:rStyle w:val="6"/>
          <w:rFonts w:hint="eastAsia" w:ascii="宋体" w:hAnsi="宋体" w:eastAsia="宋体" w:cs="宋体"/>
          <w:color w:val="auto"/>
          <w:sz w:val="32"/>
          <w:szCs w:val="32"/>
          <w:lang w:val="en-US" w:eastAsia="zh-CN"/>
        </w:rPr>
        <w:t>3、外贸进出口1074.5万美元，</w:t>
      </w:r>
      <w:r>
        <w:rPr>
          <w:rStyle w:val="6"/>
          <w:rFonts w:hint="eastAsia" w:ascii="宋体" w:hAnsi="宋体" w:eastAsia="宋体" w:cs="宋体"/>
          <w:color w:val="auto"/>
          <w:sz w:val="32"/>
          <w:szCs w:val="32"/>
          <w:lang w:eastAsia="zh-CN"/>
        </w:rPr>
        <w:t>完成率</w:t>
      </w:r>
      <w:r>
        <w:rPr>
          <w:rStyle w:val="6"/>
          <w:rFonts w:hint="eastAsia" w:ascii="宋体" w:hAnsi="宋体" w:eastAsia="宋体" w:cs="宋体"/>
          <w:color w:val="auto"/>
          <w:sz w:val="32"/>
          <w:szCs w:val="32"/>
          <w:lang w:val="en-US" w:eastAsia="zh-CN"/>
        </w:rPr>
        <w:t>214.9</w:t>
      </w:r>
      <w:r>
        <w:rPr>
          <w:rStyle w:val="6"/>
          <w:rFonts w:hint="eastAsia" w:ascii="宋体" w:hAnsi="宋体" w:eastAsia="宋体" w:cs="宋体"/>
          <w:color w:val="auto"/>
          <w:sz w:val="32"/>
          <w:szCs w:val="32"/>
          <w:lang w:eastAsia="zh-CN"/>
        </w:rPr>
        <w:t>%；</w:t>
      </w:r>
    </w:p>
    <w:p>
      <w:pPr>
        <w:ind w:firstLine="640" w:firstLineChars="200"/>
        <w:jc w:val="both"/>
        <w:rPr>
          <w:rStyle w:val="6"/>
          <w:rFonts w:hint="eastAsia" w:ascii="宋体" w:hAnsi="宋体" w:eastAsia="宋体" w:cs="宋体"/>
          <w:color w:val="auto"/>
          <w:sz w:val="32"/>
          <w:szCs w:val="32"/>
          <w:lang w:val="en-US" w:eastAsia="zh-CN"/>
        </w:rPr>
      </w:pPr>
      <w:r>
        <w:rPr>
          <w:rStyle w:val="6"/>
          <w:rFonts w:hint="eastAsia" w:ascii="宋体" w:hAnsi="宋体" w:eastAsia="宋体" w:cs="宋体"/>
          <w:color w:val="auto"/>
          <w:sz w:val="32"/>
          <w:szCs w:val="32"/>
          <w:lang w:val="en-US" w:eastAsia="zh-CN"/>
        </w:rPr>
        <w:t>4、新签约项目16个，其中亿元以上项目10个；</w:t>
      </w:r>
    </w:p>
    <w:p>
      <w:pPr>
        <w:pStyle w:val="5"/>
        <w:ind w:firstLine="640" w:firstLineChars="200"/>
        <w:rPr>
          <w:rFonts w:hint="eastAsia" w:ascii="宋体" w:hAnsi="宋体" w:eastAsia="宋体" w:cs="宋体"/>
          <w:color w:val="auto"/>
          <w:sz w:val="32"/>
          <w:szCs w:val="32"/>
          <w:lang w:val="en-US" w:eastAsia="zh-CN"/>
        </w:rPr>
      </w:pPr>
      <w:r>
        <w:rPr>
          <w:rStyle w:val="6"/>
          <w:rFonts w:hint="eastAsia" w:ascii="宋体" w:hAnsi="宋体" w:eastAsia="宋体" w:cs="宋体"/>
          <w:color w:val="auto"/>
          <w:sz w:val="32"/>
          <w:szCs w:val="32"/>
          <w:lang w:val="en-US" w:eastAsia="zh-CN"/>
        </w:rPr>
        <w:t>5、引进三类500强企业3家，</w:t>
      </w:r>
      <w:r>
        <w:rPr>
          <w:rFonts w:hint="eastAsia" w:ascii="宋体" w:hAnsi="宋体" w:eastAsia="宋体" w:cs="宋体"/>
          <w:color w:val="auto"/>
          <w:sz w:val="32"/>
          <w:szCs w:val="32"/>
        </w:rPr>
        <w:t>即大唐华银风电项目（世界500强）、 能创能源托口风电场项目（世界500强）、明阳智慧深渡光伏</w:t>
      </w:r>
      <w:r>
        <w:rPr>
          <w:rFonts w:hint="eastAsia" w:ascii="宋体" w:hAnsi="宋体" w:eastAsia="宋体" w:cs="宋体"/>
          <w:color w:val="auto"/>
          <w:sz w:val="32"/>
          <w:szCs w:val="32"/>
          <w:lang w:eastAsia="zh-CN"/>
        </w:rPr>
        <w:t>和岔头风电</w:t>
      </w:r>
      <w:r>
        <w:rPr>
          <w:rFonts w:hint="eastAsia" w:ascii="宋体" w:hAnsi="宋体" w:eastAsia="宋体" w:cs="宋体"/>
          <w:color w:val="auto"/>
          <w:sz w:val="32"/>
          <w:szCs w:val="32"/>
        </w:rPr>
        <w:t>开发项目</w:t>
      </w:r>
      <w:r>
        <w:rPr>
          <w:rFonts w:hint="eastAsia" w:ascii="宋体" w:hAnsi="宋体" w:eastAsia="宋体" w:cs="宋体"/>
          <w:color w:val="auto"/>
          <w:sz w:val="32"/>
          <w:szCs w:val="32"/>
          <w:lang w:eastAsia="zh-CN"/>
        </w:rPr>
        <w:t>（中国</w:t>
      </w:r>
      <w:r>
        <w:rPr>
          <w:rFonts w:hint="eastAsia" w:ascii="宋体" w:hAnsi="宋体" w:eastAsia="宋体" w:cs="宋体"/>
          <w:color w:val="auto"/>
          <w:sz w:val="32"/>
          <w:szCs w:val="32"/>
          <w:lang w:val="en-US" w:eastAsia="zh-CN"/>
        </w:rPr>
        <w:t>500强）。</w:t>
      </w:r>
    </w:p>
    <w:p>
      <w:pPr>
        <w:pStyle w:val="5"/>
        <w:ind w:firstLine="640" w:firstLineChars="200"/>
        <w:rPr>
          <w:rFonts w:hint="default" w:ascii="宋体" w:hAnsi="宋体" w:eastAsia="宋体"/>
          <w:sz w:val="32"/>
          <w:szCs w:val="32"/>
          <w:highlight w:val="none"/>
          <w:lang w:val="en-US" w:eastAsia="zh-CN"/>
        </w:rPr>
      </w:pPr>
      <w:r>
        <w:rPr>
          <w:rFonts w:hint="eastAsia" w:ascii="宋体" w:hAnsi="宋体" w:eastAsia="宋体" w:cs="宋体"/>
          <w:color w:val="auto"/>
          <w:sz w:val="32"/>
          <w:szCs w:val="32"/>
          <w:lang w:val="en-US" w:eastAsia="zh-CN"/>
        </w:rPr>
        <w:t>6、社会消费品零售总额1-12月337871.8万元，累计增速14.5%。其中：批发业38900万元，增速16.6%；零售业227595.8万元，增速13.5%；住宿业23705.8万元，增速14.1%；餐饮业47670.2万元，增速17.7%。</w:t>
      </w:r>
    </w:p>
    <w:p>
      <w:pPr>
        <w:pStyle w:val="5"/>
        <w:ind w:firstLine="640" w:firstLineChars="200"/>
        <w:rPr>
          <w:rFonts w:hint="eastAsia"/>
          <w:sz w:val="32"/>
          <w:szCs w:val="32"/>
          <w:highlight w:val="none"/>
        </w:rPr>
      </w:pPr>
      <w:r>
        <w:rPr>
          <w:rFonts w:hint="eastAsia"/>
          <w:sz w:val="32"/>
          <w:szCs w:val="32"/>
          <w:highlight w:val="none"/>
        </w:rPr>
        <w:t>五、存在的主要问题</w:t>
      </w:r>
    </w:p>
    <w:p>
      <w:pPr>
        <w:pStyle w:val="5"/>
        <w:ind w:firstLine="640" w:firstLineChars="200"/>
        <w:rPr>
          <w:rFonts w:hint="eastAsia" w:ascii="宋体" w:hAnsi="宋体"/>
          <w:sz w:val="32"/>
          <w:szCs w:val="32"/>
          <w:highlight w:val="none"/>
        </w:rPr>
      </w:pPr>
      <w:r>
        <w:rPr>
          <w:rFonts w:hint="eastAsia" w:ascii="宋体" w:hAnsi="宋体"/>
          <w:bCs/>
          <w:sz w:val="32"/>
          <w:szCs w:val="32"/>
          <w:highlight w:val="none"/>
        </w:rPr>
        <w:t>1.招商引资难度加大。</w:t>
      </w:r>
      <w:r>
        <w:rPr>
          <w:rFonts w:hint="eastAsia" w:ascii="宋体" w:hAnsi="宋体" w:cs="仿宋_GB2312"/>
          <w:sz w:val="32"/>
          <w:szCs w:val="32"/>
          <w:highlight w:val="none"/>
        </w:rPr>
        <w:t>受经济持续下行影响，落户企业融资成本提高、增资计划搁浅，出于对政策不稳定性的考虑和对未来宏观经济走势的担忧，来洪考察洽谈的多数企业基本处于观望状态，投资信心不坚定，洽谈项目多，项目落地</w:t>
      </w:r>
      <w:r>
        <w:rPr>
          <w:rFonts w:hint="eastAsia" w:ascii="宋体" w:hAnsi="宋体" w:cs="仿宋_GB2312"/>
          <w:sz w:val="32"/>
          <w:szCs w:val="32"/>
          <w:highlight w:val="none"/>
          <w:lang w:eastAsia="zh-CN"/>
        </w:rPr>
        <w:t>相对比较</w:t>
      </w:r>
      <w:r>
        <w:rPr>
          <w:rFonts w:hint="eastAsia" w:ascii="宋体" w:hAnsi="宋体" w:cs="仿宋_GB2312"/>
          <w:sz w:val="32"/>
          <w:szCs w:val="32"/>
          <w:highlight w:val="none"/>
        </w:rPr>
        <w:t>难。</w:t>
      </w:r>
      <w:r>
        <w:rPr>
          <w:rFonts w:hint="eastAsia" w:ascii="宋体" w:hAnsi="宋体" w:cs="仿宋_GB2312"/>
          <w:sz w:val="32"/>
          <w:szCs w:val="32"/>
          <w:highlight w:val="none"/>
          <w:lang w:bidi="ar"/>
        </w:rPr>
        <w:t>外经外贸工作基础薄弱，</w:t>
      </w:r>
      <w:r>
        <w:rPr>
          <w:rFonts w:hint="eastAsia" w:ascii="宋体" w:hAnsi="宋体" w:cs="仿宋_GB2312"/>
          <w:spacing w:val="-6"/>
          <w:sz w:val="32"/>
          <w:szCs w:val="32"/>
          <w:highlight w:val="none"/>
        </w:rPr>
        <w:t>出口产品的附加值低，高新技术出口存在短板的问题明显。招商项目库项目不够完善，影响洪江长远发展的战略项目仍然不多，</w:t>
      </w:r>
      <w:r>
        <w:rPr>
          <w:rFonts w:hint="eastAsia" w:ascii="宋体" w:hAnsi="宋体" w:cs="仿宋_GB2312"/>
          <w:sz w:val="32"/>
          <w:szCs w:val="32"/>
          <w:highlight w:val="none"/>
        </w:rPr>
        <w:t>重点项目带动效应不强的基本情况仍然没有根本改变。</w:t>
      </w:r>
    </w:p>
    <w:p>
      <w:pPr>
        <w:pStyle w:val="5"/>
        <w:ind w:firstLine="640" w:firstLineChars="200"/>
        <w:rPr>
          <w:rFonts w:hint="eastAsia" w:ascii="宋体" w:hAnsi="宋体" w:cs="仿宋_GB2312"/>
          <w:sz w:val="32"/>
          <w:szCs w:val="32"/>
          <w:highlight w:val="none"/>
        </w:rPr>
      </w:pPr>
      <w:r>
        <w:rPr>
          <w:rFonts w:hint="eastAsia" w:ascii="宋体" w:hAnsi="宋体"/>
          <w:bCs/>
          <w:sz w:val="32"/>
          <w:szCs w:val="32"/>
          <w:highlight w:val="none"/>
        </w:rPr>
        <w:t>2.社零达标压力较大。</w:t>
      </w:r>
      <w:r>
        <w:rPr>
          <w:rFonts w:hint="eastAsia" w:ascii="宋体" w:hAnsi="宋体" w:cs="仿宋_GB2312"/>
          <w:sz w:val="32"/>
          <w:szCs w:val="32"/>
          <w:highlight w:val="none"/>
        </w:rPr>
        <w:t>部分已转型企业的在数据报送上配合不高，导致</w:t>
      </w:r>
      <w:r>
        <w:rPr>
          <w:rFonts w:ascii="宋体" w:hAnsi="宋体" w:cs="仿宋_GB2312"/>
          <w:sz w:val="32"/>
          <w:szCs w:val="32"/>
          <w:highlight w:val="none"/>
        </w:rPr>
        <w:t>入统数据误差、工作不到位等</w:t>
      </w:r>
      <w:r>
        <w:rPr>
          <w:rFonts w:hint="eastAsia" w:ascii="宋体" w:hAnsi="宋体" w:cs="仿宋_GB2312"/>
          <w:sz w:val="32"/>
          <w:szCs w:val="32"/>
          <w:highlight w:val="none"/>
        </w:rPr>
        <w:t>情况</w:t>
      </w:r>
      <w:r>
        <w:rPr>
          <w:rFonts w:ascii="宋体" w:hAnsi="宋体" w:cs="仿宋_GB2312"/>
          <w:sz w:val="32"/>
          <w:szCs w:val="32"/>
          <w:highlight w:val="none"/>
        </w:rPr>
        <w:t>。</w:t>
      </w:r>
      <w:r>
        <w:rPr>
          <w:rFonts w:hint="eastAsia" w:ascii="宋体" w:hAnsi="宋体"/>
          <w:sz w:val="32"/>
          <w:szCs w:val="32"/>
          <w:highlight w:val="none"/>
        </w:rPr>
        <w:t>在当前经济下行压力加大和居民消费意愿减弱的情况下，社零达标压力很大。</w:t>
      </w:r>
    </w:p>
    <w:p>
      <w:pPr>
        <w:pStyle w:val="5"/>
        <w:ind w:firstLine="640" w:firstLineChars="200"/>
        <w:rPr>
          <w:rFonts w:hint="eastAsia"/>
          <w:sz w:val="32"/>
          <w:szCs w:val="32"/>
          <w:highlight w:val="none"/>
        </w:rPr>
      </w:pPr>
      <w:r>
        <w:rPr>
          <w:rFonts w:hint="eastAsia"/>
          <w:sz w:val="32"/>
          <w:szCs w:val="32"/>
          <w:highlight w:val="none"/>
        </w:rPr>
        <w:t>六、改进措施和有关建议</w:t>
      </w:r>
    </w:p>
    <w:p>
      <w:pPr>
        <w:pStyle w:val="5"/>
        <w:ind w:firstLine="640" w:firstLineChars="200"/>
        <w:rPr>
          <w:sz w:val="32"/>
          <w:szCs w:val="32"/>
          <w:highlight w:val="none"/>
        </w:rPr>
      </w:pPr>
      <w:r>
        <w:rPr>
          <w:rFonts w:hint="eastAsia" w:ascii="宋体" w:hAnsi="宋体" w:cs="仿宋_GB2312"/>
          <w:sz w:val="32"/>
          <w:szCs w:val="32"/>
          <w:highlight w:val="none"/>
        </w:rPr>
        <w:t>预算编制不够完善,年中追加多，决算数与预算数比例不协调。一是必要的经费安排不足，部分公用经费定额标准与单位实际支出差距比较大；二是在编制中除人均公用经费、车辆运行费有标准，其他所有支出均没有细化到具体的预算项目和相应的政府收支服务科目，各项运转支出缺少控制指标。</w:t>
      </w:r>
    </w:p>
    <w:p>
      <w:pPr>
        <w:rPr>
          <w:sz w:val="32"/>
          <w:szCs w:val="32"/>
          <w:highlight w:val="red"/>
        </w:rPr>
      </w:pPr>
    </w:p>
    <w:p>
      <w:pPr>
        <w:rPr>
          <w:sz w:val="32"/>
          <w:szCs w:val="32"/>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000000"/>
    <w:rsid w:val="3ADB0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line="560" w:lineRule="exact"/>
      <w:ind w:firstLine="880" w:firstLineChars="200"/>
    </w:pPr>
    <w:rPr>
      <w:rFonts w:eastAsia="仿宋_GB2312"/>
      <w:sz w:val="32"/>
    </w:rPr>
  </w:style>
  <w:style w:type="paragraph" w:styleId="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2022-09-25T01:24:09Z</dcterms:created>
  <dc:creator>zz</dc:creator>
  <cp:lastModifiedBy>RB</cp:lastModifiedBy>
  <dcterms:modified xsi:type="dcterms:W3CDTF">2022-09-25T01:25:25Z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3BB850752D0E4FC1AC21916947B6DFE5</vt:lpwstr>
  </property>
</Properties>
</file>