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6E2DF">
      <w:pPr>
        <w:keepNext w:val="0"/>
        <w:keepLines w:val="0"/>
        <w:pageBreakBefore w:val="0"/>
        <w:widowControl w:val="0"/>
        <w:kinsoku/>
        <w:wordWrap/>
        <w:overflowPunct/>
        <w:topLinePunct w:val="0"/>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snapToGrid w:val="0"/>
          <w:color w:val="000000"/>
          <w:spacing w:val="6"/>
          <w:kern w:val="0"/>
          <w:sz w:val="44"/>
          <w:szCs w:val="44"/>
          <w:lang w:eastAsia="zh-CN"/>
        </w:rPr>
      </w:pPr>
      <w:r>
        <w:rPr>
          <w:rFonts w:hint="eastAsia" w:ascii="方正小标宋简体" w:hAnsi="方正小标宋简体" w:eastAsia="方正小标宋简体" w:cs="方正小标宋简体"/>
          <w:snapToGrid w:val="0"/>
          <w:color w:val="000000"/>
          <w:spacing w:val="6"/>
          <w:kern w:val="0"/>
          <w:sz w:val="44"/>
          <w:szCs w:val="44"/>
          <w:lang w:eastAsia="zh-CN"/>
        </w:rPr>
        <w:t>洪江市公共租赁住房准入条件</w:t>
      </w:r>
    </w:p>
    <w:p w14:paraId="64D803FB">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p>
    <w:p w14:paraId="3B9111BC">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黑体" w:cs="Times New Roman"/>
          <w:snapToGrid w:val="0"/>
          <w:color w:val="000000"/>
          <w:spacing w:val="6"/>
          <w:kern w:val="0"/>
          <w:sz w:val="32"/>
          <w:szCs w:val="32"/>
          <w:lang w:val="en-US" w:eastAsia="zh-CN"/>
        </w:rPr>
      </w:pPr>
      <w:r>
        <w:rPr>
          <w:rFonts w:hint="default" w:ascii="Times New Roman" w:hAnsi="Times New Roman" w:eastAsia="黑体" w:cs="Times New Roman"/>
          <w:snapToGrid w:val="0"/>
          <w:color w:val="000000"/>
          <w:spacing w:val="6"/>
          <w:kern w:val="0"/>
          <w:sz w:val="32"/>
          <w:szCs w:val="32"/>
          <w:lang w:val="en-US" w:eastAsia="zh-CN"/>
        </w:rPr>
        <w:t>一、申请公共租赁住房，应当符合以下条件：</w:t>
      </w:r>
    </w:p>
    <w:p w14:paraId="6323F53B">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eastAsia="zh-CN"/>
        </w:rPr>
        <w:t>（一）申请人年满18周岁、具有完全民事行为能力；</w:t>
      </w:r>
    </w:p>
    <w:p w14:paraId="266D8975">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val="en-US" w:eastAsia="zh-CN"/>
        </w:rPr>
      </w:pPr>
      <w:r>
        <w:rPr>
          <w:rFonts w:hint="default" w:ascii="Times New Roman" w:hAnsi="Times New Roman" w:eastAsia="仿宋_GB2312" w:cs="Times New Roman"/>
          <w:snapToGrid w:val="0"/>
          <w:color w:val="000000"/>
          <w:spacing w:val="6"/>
          <w:kern w:val="0"/>
          <w:sz w:val="32"/>
          <w:szCs w:val="32"/>
          <w:lang w:eastAsia="zh-CN"/>
        </w:rPr>
        <w:t>（二）在本地无自有住房或家庭人均住房面积低于</w:t>
      </w:r>
      <w:r>
        <w:rPr>
          <w:rFonts w:hint="default" w:ascii="Times New Roman" w:hAnsi="Times New Roman" w:eastAsia="仿宋_GB2312" w:cs="Times New Roman"/>
          <w:snapToGrid w:val="0"/>
          <w:color w:val="000000"/>
          <w:spacing w:val="6"/>
          <w:kern w:val="0"/>
          <w:sz w:val="32"/>
          <w:szCs w:val="32"/>
          <w:lang w:val="en-US" w:eastAsia="zh-CN"/>
        </w:rPr>
        <w:t>15平方米（含15平方米）</w:t>
      </w:r>
      <w:r>
        <w:rPr>
          <w:rFonts w:hint="default" w:ascii="Times New Roman" w:hAnsi="Times New Roman" w:eastAsia="仿宋_GB2312" w:cs="Times New Roman"/>
          <w:snapToGrid w:val="0"/>
          <w:color w:val="000000"/>
          <w:spacing w:val="6"/>
          <w:kern w:val="0"/>
          <w:sz w:val="32"/>
          <w:szCs w:val="32"/>
          <w:lang w:eastAsia="zh-CN"/>
        </w:rPr>
        <w:t>。申请家庭申请之日起前2年出售、赠与、自行委托拍卖房产的（因病、事故等特殊情况除外），不属于无自有住房的情形；</w:t>
      </w:r>
    </w:p>
    <w:p w14:paraId="55DB4E94">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eastAsia="zh-CN"/>
        </w:rPr>
        <w:t>（三）未享受过房改购房、集资建房、经济适用住房和住房补贴等住房保障政策；</w:t>
      </w:r>
    </w:p>
    <w:p w14:paraId="026AB199">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eastAsia="zh-CN"/>
        </w:rPr>
        <w:t>（四）城镇低收入、中等偏下收入住房困难家庭：</w:t>
      </w:r>
    </w:p>
    <w:p w14:paraId="1CF00C1B">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eastAsia="zh-CN"/>
        </w:rPr>
        <w:t>低收入家庭包含城镇低保、特困、低保边缘家庭等（以民政部门认定为准）；中等偏下收入家庭是指家庭成员人均可支配收入不超过上年度洪江市城镇居民人均可支配收入（洪江市</w:t>
      </w:r>
      <w:r>
        <w:rPr>
          <w:rFonts w:hint="default" w:ascii="Times New Roman" w:hAnsi="Times New Roman" w:eastAsia="仿宋_GB2312" w:cs="Times New Roman"/>
          <w:snapToGrid w:val="0"/>
          <w:color w:val="000000"/>
          <w:spacing w:val="6"/>
          <w:kern w:val="0"/>
          <w:sz w:val="32"/>
          <w:szCs w:val="32"/>
          <w:lang w:val="en-US" w:eastAsia="zh-CN"/>
        </w:rPr>
        <w:t>2023年度</w:t>
      </w:r>
      <w:r>
        <w:rPr>
          <w:rFonts w:hint="default" w:ascii="Times New Roman" w:hAnsi="Times New Roman" w:eastAsia="仿宋_GB2312" w:cs="Times New Roman"/>
          <w:snapToGrid w:val="0"/>
          <w:color w:val="000000"/>
          <w:spacing w:val="6"/>
          <w:kern w:val="0"/>
          <w:sz w:val="32"/>
          <w:szCs w:val="32"/>
          <w:lang w:eastAsia="zh-CN"/>
        </w:rPr>
        <w:t>城镇居民人均可支配收入为32372元）。</w:t>
      </w:r>
    </w:p>
    <w:p w14:paraId="36F93DD8">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eastAsia="zh-CN"/>
        </w:rPr>
        <w:t>（五）新就业无房职工申请的应同时具备下列条件：</w:t>
      </w:r>
    </w:p>
    <w:p w14:paraId="04D4C917">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eastAsia="zh-CN"/>
        </w:rPr>
        <w:t>1.毕业未满5年，在申请所在地就业，正常缴纳社会保险</w:t>
      </w:r>
      <w:r>
        <w:rPr>
          <w:rFonts w:hint="eastAsia" w:ascii="Times New Roman" w:hAnsi="Times New Roman" w:eastAsia="仿宋_GB2312" w:cs="Times New Roman"/>
          <w:snapToGrid w:val="0"/>
          <w:color w:val="000000"/>
          <w:spacing w:val="6"/>
          <w:kern w:val="0"/>
          <w:sz w:val="32"/>
          <w:szCs w:val="32"/>
          <w:lang w:eastAsia="zh-CN"/>
        </w:rPr>
        <w:t>，</w:t>
      </w:r>
      <w:bookmarkStart w:id="0" w:name="_GoBack"/>
      <w:bookmarkEnd w:id="0"/>
      <w:r>
        <w:rPr>
          <w:rFonts w:hint="default" w:ascii="Times New Roman" w:hAnsi="Times New Roman" w:eastAsia="仿宋_GB2312" w:cs="Times New Roman"/>
          <w:snapToGrid w:val="0"/>
          <w:color w:val="000000"/>
          <w:spacing w:val="6"/>
          <w:kern w:val="0"/>
          <w:sz w:val="32"/>
          <w:szCs w:val="32"/>
          <w:lang w:eastAsia="zh-CN"/>
        </w:rPr>
        <w:t>正式录（聘）用未满3年；</w:t>
      </w:r>
    </w:p>
    <w:p w14:paraId="2D68BF86">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eastAsia="zh-CN"/>
        </w:rPr>
        <w:t>2.已与用人单位签订劳动（聘用）合同并在申请之日前已办理好了入职手续；</w:t>
      </w:r>
    </w:p>
    <w:p w14:paraId="55FBAC1A">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eastAsia="zh-CN"/>
        </w:rPr>
        <w:t>3.本人及家庭成员在就业地所在乡镇、社区未租住直管公房、自管公房；</w:t>
      </w:r>
    </w:p>
    <w:p w14:paraId="618F8E22">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eastAsia="zh-CN"/>
        </w:rPr>
        <w:t>（六）在城镇稳定就业的外来务工人员（含进城务工人员）申请的应同时具备下列条件：</w:t>
      </w:r>
    </w:p>
    <w:p w14:paraId="7AE797A0">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eastAsia="zh-CN"/>
        </w:rPr>
        <w:t>与用人单位签订1年以上的劳动（聘用）合同，并在</w:t>
      </w:r>
      <w:r>
        <w:rPr>
          <w:rFonts w:hint="default" w:ascii="Times New Roman" w:hAnsi="Times New Roman" w:eastAsia="仿宋_GB2312" w:cs="Times New Roman"/>
          <w:snapToGrid w:val="0"/>
          <w:color w:val="000000"/>
          <w:spacing w:val="6"/>
          <w:kern w:val="0"/>
          <w:sz w:val="32"/>
          <w:szCs w:val="32"/>
          <w:lang w:val="en-US" w:eastAsia="zh-CN"/>
        </w:rPr>
        <w:t>申请之日前已连续缴纳社会保险12个月（含）以上。</w:t>
      </w:r>
    </w:p>
    <w:p w14:paraId="5DC5E864">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黑体" w:cs="Times New Roman"/>
          <w:snapToGrid w:val="0"/>
          <w:color w:val="000000"/>
          <w:spacing w:val="6"/>
          <w:kern w:val="0"/>
          <w:sz w:val="32"/>
          <w:szCs w:val="32"/>
          <w:lang w:eastAsia="zh-CN"/>
        </w:rPr>
      </w:pPr>
      <w:r>
        <w:rPr>
          <w:rFonts w:hint="default" w:ascii="Times New Roman" w:hAnsi="Times New Roman" w:eastAsia="黑体" w:cs="Times New Roman"/>
          <w:snapToGrid w:val="0"/>
          <w:color w:val="000000"/>
          <w:spacing w:val="6"/>
          <w:kern w:val="0"/>
          <w:sz w:val="32"/>
          <w:szCs w:val="32"/>
          <w:lang w:val="en-US" w:eastAsia="zh-CN"/>
        </w:rPr>
        <w:t>二、</w:t>
      </w:r>
      <w:r>
        <w:rPr>
          <w:rFonts w:hint="default" w:ascii="Times New Roman" w:hAnsi="Times New Roman" w:eastAsia="黑体" w:cs="Times New Roman"/>
          <w:snapToGrid w:val="0"/>
          <w:color w:val="000000"/>
          <w:spacing w:val="6"/>
          <w:kern w:val="0"/>
          <w:sz w:val="32"/>
          <w:szCs w:val="32"/>
          <w:lang w:eastAsia="zh-CN"/>
        </w:rPr>
        <w:t>有下列情形之一的，不得申请公租房或住房租赁补贴：</w:t>
      </w:r>
    </w:p>
    <w:p w14:paraId="4806861B">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eastAsia="zh-CN"/>
        </w:rPr>
      </w:pPr>
      <w:r>
        <w:rPr>
          <w:rFonts w:hint="default" w:ascii="Times New Roman" w:hAnsi="Times New Roman" w:eastAsia="仿宋_GB2312" w:cs="Times New Roman"/>
          <w:snapToGrid w:val="0"/>
          <w:color w:val="000000"/>
          <w:spacing w:val="6"/>
          <w:kern w:val="0"/>
          <w:sz w:val="32"/>
          <w:szCs w:val="32"/>
          <w:lang w:val="en-US" w:eastAsia="zh-CN"/>
        </w:rPr>
        <w:t>1</w:t>
      </w:r>
      <w:r>
        <w:rPr>
          <w:rFonts w:hint="default" w:ascii="Times New Roman" w:hAnsi="Times New Roman" w:eastAsia="仿宋_GB2312" w:cs="Times New Roman"/>
          <w:snapToGrid w:val="0"/>
          <w:color w:val="000000"/>
          <w:spacing w:val="6"/>
          <w:kern w:val="0"/>
          <w:sz w:val="32"/>
          <w:szCs w:val="32"/>
          <w:lang w:eastAsia="zh-CN"/>
        </w:rPr>
        <w:t>.房屋拆迁已获得拆迁补偿的；</w:t>
      </w:r>
    </w:p>
    <w:p w14:paraId="4084B4E7">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val="en-US" w:eastAsia="zh-CN"/>
        </w:rPr>
      </w:pPr>
      <w:r>
        <w:rPr>
          <w:rFonts w:hint="eastAsia" w:ascii="Times New Roman" w:hAnsi="Times New Roman" w:eastAsia="仿宋_GB2312" w:cs="Times New Roman"/>
          <w:snapToGrid w:val="0"/>
          <w:color w:val="000000"/>
          <w:spacing w:val="6"/>
          <w:kern w:val="0"/>
          <w:sz w:val="32"/>
          <w:szCs w:val="32"/>
          <w:lang w:val="en-US" w:eastAsia="zh-CN"/>
        </w:rPr>
        <w:t>2.</w:t>
      </w:r>
      <w:r>
        <w:rPr>
          <w:rFonts w:hint="eastAsia" w:ascii="Times New Roman" w:hAnsi="Times New Roman" w:eastAsia="仿宋_GB2312" w:cs="Times New Roman"/>
          <w:snapToGrid w:val="0"/>
          <w:color w:val="000000"/>
          <w:spacing w:val="6"/>
          <w:kern w:val="0"/>
          <w:sz w:val="32"/>
          <w:szCs w:val="32"/>
          <w:lang w:eastAsia="zh-CN"/>
        </w:rPr>
        <w:t>有车辆登记的(价值在</w:t>
      </w:r>
      <w:r>
        <w:rPr>
          <w:rFonts w:hint="eastAsia" w:ascii="Times New Roman" w:hAnsi="Times New Roman" w:eastAsia="仿宋_GB2312" w:cs="Times New Roman"/>
          <w:snapToGrid w:val="0"/>
          <w:color w:val="000000"/>
          <w:spacing w:val="6"/>
          <w:kern w:val="0"/>
          <w:sz w:val="32"/>
          <w:szCs w:val="32"/>
          <w:lang w:val="en-US" w:eastAsia="zh-CN"/>
        </w:rPr>
        <w:t>5</w:t>
      </w:r>
      <w:r>
        <w:rPr>
          <w:rFonts w:hint="eastAsia" w:ascii="Times New Roman" w:hAnsi="Times New Roman" w:eastAsia="仿宋_GB2312" w:cs="Times New Roman"/>
          <w:snapToGrid w:val="0"/>
          <w:color w:val="000000"/>
          <w:spacing w:val="6"/>
          <w:kern w:val="0"/>
          <w:sz w:val="32"/>
          <w:szCs w:val="32"/>
          <w:lang w:eastAsia="zh-CN"/>
        </w:rPr>
        <w:t>万元以下且仅用于生产工具的除外);</w:t>
      </w:r>
    </w:p>
    <w:p w14:paraId="72D74AA2">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eastAsia" w:ascii="Times New Roman" w:hAnsi="Times New Roman" w:eastAsia="仿宋_GB2312" w:cs="Times New Roman"/>
          <w:snapToGrid w:val="0"/>
          <w:color w:val="000000"/>
          <w:spacing w:val="6"/>
          <w:kern w:val="0"/>
          <w:sz w:val="32"/>
          <w:szCs w:val="32"/>
          <w:lang w:val="en-US" w:eastAsia="zh-CN"/>
        </w:rPr>
      </w:pPr>
      <w:r>
        <w:rPr>
          <w:rFonts w:hint="eastAsia" w:ascii="Times New Roman" w:hAnsi="Times New Roman" w:eastAsia="仿宋_GB2312" w:cs="Times New Roman"/>
          <w:snapToGrid w:val="0"/>
          <w:color w:val="000000"/>
          <w:spacing w:val="6"/>
          <w:kern w:val="0"/>
          <w:sz w:val="32"/>
          <w:szCs w:val="32"/>
          <w:lang w:val="en-US" w:eastAsia="zh-CN"/>
        </w:rPr>
        <w:t>3.有工商注册信息的（注册资金在10万元以下的除外）；</w:t>
      </w:r>
    </w:p>
    <w:p w14:paraId="49646F12">
      <w:pPr>
        <w:keepNext w:val="0"/>
        <w:keepLines w:val="0"/>
        <w:pageBreakBefore w:val="0"/>
        <w:widowControl w:val="0"/>
        <w:kinsoku/>
        <w:wordWrap/>
        <w:overflowPunct/>
        <w:topLinePunct w:val="0"/>
        <w:autoSpaceDE/>
        <w:autoSpaceDN/>
        <w:bidi w:val="0"/>
        <w:adjustRightInd w:val="0"/>
        <w:snapToGrid w:val="0"/>
        <w:spacing w:line="440" w:lineRule="exact"/>
        <w:ind w:right="0" w:firstLine="664" w:firstLineChars="200"/>
        <w:jc w:val="both"/>
        <w:textAlignment w:val="baseline"/>
        <w:rPr>
          <w:rFonts w:hint="default" w:ascii="Times New Roman" w:hAnsi="Times New Roman" w:eastAsia="仿宋_GB2312" w:cs="Times New Roman"/>
          <w:snapToGrid w:val="0"/>
          <w:color w:val="000000"/>
          <w:spacing w:val="6"/>
          <w:kern w:val="0"/>
          <w:sz w:val="32"/>
          <w:szCs w:val="32"/>
          <w:lang w:val="en-US" w:eastAsia="zh-CN"/>
        </w:rPr>
      </w:pPr>
      <w:r>
        <w:rPr>
          <w:rFonts w:hint="eastAsia" w:ascii="Times New Roman" w:hAnsi="Times New Roman" w:eastAsia="仿宋_GB2312" w:cs="Times New Roman"/>
          <w:snapToGrid w:val="0"/>
          <w:color w:val="000000"/>
          <w:spacing w:val="6"/>
          <w:kern w:val="0"/>
          <w:sz w:val="32"/>
          <w:szCs w:val="32"/>
          <w:lang w:val="en-US" w:eastAsia="zh-CN"/>
        </w:rPr>
        <w:t>4</w:t>
      </w:r>
      <w:r>
        <w:rPr>
          <w:rFonts w:hint="default" w:ascii="Times New Roman" w:hAnsi="Times New Roman" w:eastAsia="仿宋_GB2312" w:cs="Times New Roman"/>
          <w:snapToGrid w:val="0"/>
          <w:color w:val="000000"/>
          <w:spacing w:val="6"/>
          <w:kern w:val="0"/>
          <w:sz w:val="32"/>
          <w:szCs w:val="32"/>
          <w:lang w:eastAsia="zh-CN"/>
        </w:rPr>
        <w:t>.申请人及家庭成员有非住宅房产的（包括商铺、车位等非住宅资产）</w:t>
      </w:r>
      <w:r>
        <w:rPr>
          <w:rFonts w:hint="eastAsia" w:ascii="Times New Roman" w:hAnsi="Times New Roman" w:eastAsia="仿宋_GB2312" w:cs="Times New Roman"/>
          <w:snapToGrid w:val="0"/>
          <w:color w:val="000000"/>
          <w:spacing w:val="6"/>
          <w:kern w:val="0"/>
          <w:sz w:val="32"/>
          <w:szCs w:val="32"/>
          <w:lang w:eastAsia="zh-CN"/>
        </w:rPr>
        <w:t>。</w:t>
      </w:r>
    </w:p>
    <w:sectPr>
      <w:pgSz w:w="11906" w:h="16838"/>
      <w:pgMar w:top="1701" w:right="1417" w:bottom="136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56AC3"/>
    <w:rsid w:val="087E03FC"/>
    <w:rsid w:val="10D26947"/>
    <w:rsid w:val="12525F91"/>
    <w:rsid w:val="1B8F41B8"/>
    <w:rsid w:val="1F7A147A"/>
    <w:rsid w:val="219A700D"/>
    <w:rsid w:val="2573204F"/>
    <w:rsid w:val="27156AC3"/>
    <w:rsid w:val="35224782"/>
    <w:rsid w:val="39783C80"/>
    <w:rsid w:val="3DA72A27"/>
    <w:rsid w:val="409E3FCC"/>
    <w:rsid w:val="468123C6"/>
    <w:rsid w:val="47E0136E"/>
    <w:rsid w:val="59B73826"/>
    <w:rsid w:val="5B1258EA"/>
    <w:rsid w:val="5B1F3B03"/>
    <w:rsid w:val="5BE30FD5"/>
    <w:rsid w:val="686D4100"/>
    <w:rsid w:val="6B9C14A3"/>
    <w:rsid w:val="6F627EC0"/>
    <w:rsid w:val="720F447A"/>
    <w:rsid w:val="72F77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643</Words>
  <Characters>663</Characters>
  <Lines>0</Lines>
  <Paragraphs>0</Paragraphs>
  <TotalTime>388</TotalTime>
  <ScaleCrop>false</ScaleCrop>
  <LinksUpToDate>false</LinksUpToDate>
  <CharactersWithSpaces>663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2025-01-03T03:38:00Z</dcterms:created>
  <dc:creator>Hè</dc:creator>
  <cp:lastModifiedBy>劝劝xjh</cp:lastModifiedBy>
  <cp:lastPrinted>2025-01-04T13:38:00Z</cp:lastPrinted>
  <dcterms:modified xsi:type="dcterms:W3CDTF">2025-01-10T03:47:55Z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D5E08AC726164317BBC3226846725618_13</vt:lpwstr>
  </property>
  <property fmtid="{D5CDD505-2E9C-101B-9397-08002B2CF9AE}" pid="4" name="KSOTemplateDocerSaveRecord">
    <vt:lpwstr>eyJoZGlkIjoiZGUzYTkwZmUwYmYyNjg1Mzg3NzliZDM2N2QwYTNhMjYiLCJ1c2VySWQiOiI0NzY2NTY3MTIifQ==</vt:lpwstr>
  </property>
</Properties>
</file>